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0AD27">
      <w:pPr>
        <w:pStyle w:val="8"/>
        <w:rPr>
          <w:rFonts w:ascii="Consolas" w:hAnsi="Consolas" w:eastAsia="新宋体" w:cs="新宋体"/>
          <w:sz w:val="84"/>
          <w:szCs w:val="84"/>
        </w:rPr>
      </w:pPr>
    </w:p>
    <w:p w14:paraId="3E3E2513">
      <w:pPr>
        <w:pStyle w:val="8"/>
        <w:rPr>
          <w:rFonts w:ascii="宋体" w:hAnsi="宋体" w:eastAsia="宋体"/>
          <w:sz w:val="52"/>
          <w:szCs w:val="52"/>
        </w:rPr>
      </w:pPr>
    </w:p>
    <w:p w14:paraId="3A30205A">
      <w:pPr>
        <w:pStyle w:val="8"/>
        <w:jc w:val="center"/>
        <w:rPr>
          <w:rFonts w:hint="eastAsia" w:ascii="华文中宋" w:hAnsi="华文中宋" w:eastAsia="华文中宋" w:cs="Arial"/>
          <w:b/>
          <w:sz w:val="52"/>
          <w:szCs w:val="52"/>
          <w:lang w:val="en-US" w:eastAsia="zh-CN"/>
        </w:rPr>
      </w:pPr>
      <w:r>
        <w:rPr>
          <w:rFonts w:hint="eastAsia" w:ascii="华文中宋" w:hAnsi="华文中宋" w:eastAsia="华文中宋" w:cs="Arial"/>
          <w:b/>
          <w:sz w:val="52"/>
          <w:szCs w:val="52"/>
        </w:rPr>
        <w:t>计量技术规范</w:t>
      </w:r>
      <w:r>
        <w:rPr>
          <w:rFonts w:hint="eastAsia" w:ascii="华文中宋" w:hAnsi="华文中宋" w:eastAsia="华文中宋" w:cs="Arial"/>
          <w:b/>
          <w:sz w:val="52"/>
          <w:szCs w:val="52"/>
          <w:lang w:val="en-US" w:eastAsia="zh-CN"/>
        </w:rPr>
        <w:t>实验及不确定度</w:t>
      </w:r>
    </w:p>
    <w:p w14:paraId="727B141C">
      <w:pPr>
        <w:pStyle w:val="8"/>
        <w:jc w:val="center"/>
        <w:rPr>
          <w:rFonts w:hint="default" w:ascii="华文中宋" w:hAnsi="华文中宋" w:eastAsia="华文中宋" w:cs="Arial"/>
          <w:b/>
          <w:sz w:val="52"/>
          <w:szCs w:val="52"/>
          <w:lang w:val="en-US"/>
        </w:rPr>
      </w:pPr>
      <w:r>
        <w:rPr>
          <w:rFonts w:hint="eastAsia" w:ascii="华文中宋" w:hAnsi="华文中宋" w:eastAsia="华文中宋" w:cs="Arial"/>
          <w:b/>
          <w:sz w:val="52"/>
          <w:szCs w:val="52"/>
          <w:lang w:val="en-US" w:eastAsia="zh-CN"/>
        </w:rPr>
        <w:t>评估报告</w:t>
      </w:r>
    </w:p>
    <w:p w14:paraId="7725CBC4"/>
    <w:p w14:paraId="59B0A71B"/>
    <w:p w14:paraId="071DBDBC">
      <w:r>
        <w:rPr>
          <w:rFonts w:hint="eastAsia"/>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119380</wp:posOffset>
                </wp:positionV>
                <wp:extent cx="5351145" cy="13335"/>
                <wp:effectExtent l="0" t="6350" r="13335" b="1079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51145" cy="13335"/>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7pt;margin-top:9.4pt;height:1.05pt;width:421.35pt;z-index:251659264;mso-width-relative:page;mso-height-relative:page;" filled="f" stroked="t" coordsize="21600,21600" o:gfxdata="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YI5zbY&#10;AAAACAEAAA8AAAAAAAAAAQAgAAAAIgAAAGRycy9kb3ducmV2LnhtbFBLAQIUABQAAAAIAIdO4kBy&#10;GhaD5wEAAK8DAAAOAAAAAAAAAAEAIAAAACcBAABkcnMvZTJvRG9jLnhtbFBLBQYAAAAABgAGAFkB&#10;AACABQAAAAA=&#10;">
                <v:fill on="f" focussize="0,0"/>
                <v:stroke weight="1pt" color="#000000" joinstyle="round"/>
                <v:imagedata o:title=""/>
                <o:lock v:ext="edit" aspectratio="f"/>
              </v:line>
            </w:pict>
          </mc:Fallback>
        </mc:AlternateContent>
      </w:r>
    </w:p>
    <w:p w14:paraId="0D517C60"/>
    <w:p w14:paraId="01C1E7E4"/>
    <w:p w14:paraId="0A3AFD9F"/>
    <w:p w14:paraId="155CDBD6"/>
    <w:p w14:paraId="634E9463"/>
    <w:p w14:paraId="1FCF0BC7"/>
    <w:p w14:paraId="2FC92BFA"/>
    <w:p w14:paraId="45F9C883"/>
    <w:p w14:paraId="4060CE04"/>
    <w:p w14:paraId="240FDE5C">
      <w:pPr>
        <w:jc w:val="center"/>
        <w:rPr>
          <w:rFonts w:hint="eastAsia" w:ascii="黑体" w:eastAsia="黑体"/>
          <w:sz w:val="52"/>
          <w:szCs w:val="52"/>
        </w:rPr>
      </w:pPr>
      <w:r>
        <w:rPr>
          <w:rFonts w:hint="eastAsia" w:ascii="黑体" w:eastAsia="黑体"/>
          <w:sz w:val="52"/>
          <w:szCs w:val="52"/>
        </w:rPr>
        <w:t>M</w:t>
      </w:r>
      <w:r>
        <w:rPr>
          <w:rFonts w:hint="eastAsia" w:ascii="黑体" w:eastAsia="黑体"/>
          <w:sz w:val="52"/>
          <w:szCs w:val="52"/>
          <w:lang w:val="en-US" w:eastAsia="zh-CN"/>
        </w:rPr>
        <w:t>ini</w:t>
      </w:r>
      <w:r>
        <w:rPr>
          <w:rFonts w:hint="eastAsia" w:ascii="黑体" w:eastAsia="黑体"/>
          <w:sz w:val="52"/>
          <w:szCs w:val="52"/>
        </w:rPr>
        <w:t>显示屏空间光色特性</w:t>
      </w:r>
    </w:p>
    <w:p w14:paraId="59D146EB">
      <w:pPr>
        <w:jc w:val="center"/>
        <w:rPr>
          <w:rFonts w:hint="default" w:ascii="黑体" w:eastAsia="黑体"/>
          <w:sz w:val="52"/>
          <w:szCs w:val="52"/>
          <w:lang w:val="en-US"/>
        </w:rPr>
      </w:pPr>
      <w:r>
        <w:rPr>
          <w:rFonts w:hint="eastAsia" w:ascii="黑体" w:eastAsia="黑体"/>
          <w:sz w:val="52"/>
          <w:szCs w:val="52"/>
        </w:rPr>
        <w:t>校准规范</w:t>
      </w:r>
    </w:p>
    <w:p w14:paraId="46269378"/>
    <w:p w14:paraId="4807F437">
      <w:pPr>
        <w:jc w:val="center"/>
        <w:rPr>
          <w:b/>
        </w:rPr>
      </w:pPr>
    </w:p>
    <w:p w14:paraId="35BED03A"/>
    <w:p w14:paraId="6FCDAEFB"/>
    <w:p w14:paraId="6E931DFB">
      <w:pPr>
        <w:pStyle w:val="9"/>
        <w:ind w:firstLine="0" w:firstLineChars="0"/>
        <w:jc w:val="center"/>
        <w:rPr>
          <w:rFonts w:hint="default" w:eastAsia="宋体"/>
          <w:b/>
          <w:sz w:val="36"/>
          <w:szCs w:val="28"/>
          <w:lang w:val="en-US" w:eastAsia="zh-CN"/>
        </w:rPr>
      </w:pPr>
      <w:r>
        <w:rPr>
          <w:rFonts w:hint="eastAsia"/>
          <w:b/>
          <w:sz w:val="44"/>
          <w:szCs w:val="36"/>
        </w:rPr>
        <w:t>实验</w:t>
      </w:r>
      <w:r>
        <w:rPr>
          <w:rFonts w:hint="eastAsia"/>
          <w:b/>
          <w:sz w:val="44"/>
          <w:szCs w:val="36"/>
          <w:lang w:val="en-US" w:eastAsia="zh-CN"/>
        </w:rPr>
        <w:t>及不确定度</w:t>
      </w:r>
      <w:r>
        <w:rPr>
          <w:rFonts w:hint="eastAsia"/>
          <w:b/>
          <w:sz w:val="44"/>
          <w:szCs w:val="36"/>
        </w:rPr>
        <w:t>报告</w:t>
      </w:r>
    </w:p>
    <w:p w14:paraId="10E244AF">
      <w:pPr>
        <w:jc w:val="center"/>
      </w:pPr>
      <w:r>
        <w:rPr>
          <w:rFonts w:hint="eastAsia"/>
        </w:rPr>
        <w:t>（20</w:t>
      </w:r>
      <w:r>
        <w:rPr>
          <w:rFonts w:hint="eastAsia"/>
          <w:lang w:val="en-US" w:eastAsia="zh-CN"/>
        </w:rPr>
        <w:t>24</w:t>
      </w:r>
      <w:r>
        <w:rPr>
          <w:rFonts w:hint="eastAsia"/>
        </w:rPr>
        <w:t>.</w:t>
      </w:r>
      <w:r>
        <w:rPr>
          <w:rFonts w:hint="eastAsia"/>
          <w:lang w:val="en-US" w:eastAsia="zh-CN"/>
        </w:rPr>
        <w:t>12</w:t>
      </w:r>
      <w:r>
        <w:rPr>
          <w:rFonts w:hint="eastAsia"/>
        </w:rPr>
        <w:t>.</w:t>
      </w:r>
      <w:r>
        <w:rPr>
          <w:rFonts w:hint="eastAsia"/>
          <w:lang w:val="en-US" w:eastAsia="zh-CN"/>
        </w:rPr>
        <w:t>25</w:t>
      </w:r>
      <w:r>
        <w:rPr>
          <w:rFonts w:hint="eastAsia"/>
        </w:rPr>
        <w:t>）</w:t>
      </w:r>
    </w:p>
    <w:p w14:paraId="3188FB72"/>
    <w:p w14:paraId="414EC675">
      <w:pPr>
        <w:pStyle w:val="9"/>
        <w:ind w:firstLine="0" w:firstLineChars="0"/>
      </w:pPr>
    </w:p>
    <w:p w14:paraId="1415D7E1"/>
    <w:p w14:paraId="6178EE7C">
      <w:pPr>
        <w:pStyle w:val="9"/>
        <w:ind w:firstLine="0" w:firstLineChars="0"/>
      </w:pPr>
    </w:p>
    <w:p w14:paraId="3332FB5C"/>
    <w:p w14:paraId="136A62F3">
      <w:pPr>
        <w:pStyle w:val="9"/>
        <w:ind w:firstLine="0" w:firstLineChars="0"/>
      </w:pPr>
    </w:p>
    <w:p w14:paraId="59388F16"/>
    <w:p w14:paraId="49003FE2">
      <w:pPr>
        <w:pStyle w:val="9"/>
        <w:ind w:firstLine="0" w:firstLineChars="0"/>
      </w:pPr>
    </w:p>
    <w:p w14:paraId="685131E5"/>
    <w:p w14:paraId="4FE04A8A">
      <w:pPr>
        <w:widowControl/>
        <w:jc w:val="left"/>
      </w:pPr>
      <w:r>
        <w:br w:type="page"/>
      </w:r>
    </w:p>
    <w:p w14:paraId="3E24F8DA">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实验目的</w:t>
      </w:r>
    </w:p>
    <w:p w14:paraId="75F434BA">
      <w:pPr>
        <w:ind w:firstLine="420" w:firstLineChars="0"/>
        <w:rPr>
          <w:rFonts w:hint="eastAsia"/>
          <w:sz w:val="24"/>
        </w:rPr>
      </w:pPr>
      <w:r>
        <w:rPr>
          <w:rFonts w:hint="eastAsia"/>
          <w:sz w:val="24"/>
          <w:szCs w:val="32"/>
        </w:rPr>
        <w:t>使用</w:t>
      </w:r>
      <w:r>
        <w:rPr>
          <w:rFonts w:hint="eastAsia"/>
          <w:sz w:val="24"/>
          <w:szCs w:val="32"/>
          <w:lang w:val="en-US" w:eastAsia="zh-CN"/>
        </w:rPr>
        <w:t xml:space="preserve">Mini </w:t>
      </w:r>
      <w:r>
        <w:rPr>
          <w:sz w:val="24"/>
        </w:rPr>
        <w:t>LED</w:t>
      </w:r>
      <w:r>
        <w:rPr>
          <w:rFonts w:hint="eastAsia"/>
          <w:sz w:val="24"/>
        </w:rPr>
        <w:t>显示屏空间光色特性</w:t>
      </w:r>
      <w:r>
        <w:rPr>
          <w:rFonts w:hint="eastAsia"/>
          <w:sz w:val="24"/>
          <w:lang w:val="en-US" w:eastAsia="zh-CN"/>
        </w:rPr>
        <w:t>测量装置</w:t>
      </w:r>
      <w:r>
        <w:rPr>
          <w:rFonts w:hint="eastAsia"/>
          <w:sz w:val="24"/>
          <w:szCs w:val="32"/>
          <w:lang w:val="en-US" w:eastAsia="zh-CN"/>
        </w:rPr>
        <w:t>（以下简称装置）</w:t>
      </w:r>
      <w:r>
        <w:rPr>
          <w:rFonts w:hint="eastAsia"/>
          <w:sz w:val="24"/>
        </w:rPr>
        <w:t>，</w:t>
      </w:r>
      <w:r>
        <w:rPr>
          <w:rFonts w:hint="eastAsia"/>
          <w:sz w:val="24"/>
          <w:lang w:val="en-US" w:eastAsia="zh-CN"/>
        </w:rPr>
        <w:t xml:space="preserve">校准Mini </w:t>
      </w:r>
      <w:r>
        <w:rPr>
          <w:rFonts w:hint="eastAsia"/>
          <w:sz w:val="24"/>
        </w:rPr>
        <w:t>LED</w:t>
      </w:r>
      <w:r>
        <w:rPr>
          <w:rFonts w:hint="eastAsia"/>
          <w:sz w:val="24"/>
        </w:rPr>
        <w:t>显示屏</w:t>
      </w:r>
      <w:r>
        <w:rPr>
          <w:rFonts w:hint="eastAsia"/>
          <w:sz w:val="24"/>
          <w:lang w:val="en-US" w:eastAsia="zh-CN"/>
        </w:rPr>
        <w:t>（以下简称待校</w:t>
      </w:r>
      <w:r>
        <w:rPr>
          <w:rFonts w:hint="eastAsia"/>
          <w:sz w:val="24"/>
        </w:rPr>
        <w:t>屏</w:t>
      </w:r>
      <w:r>
        <w:rPr>
          <w:rFonts w:hint="eastAsia"/>
          <w:sz w:val="24"/>
          <w:lang w:val="en-US" w:eastAsia="zh-CN"/>
        </w:rPr>
        <w:t>）在半球</w:t>
      </w:r>
      <w:r>
        <w:rPr>
          <w:rFonts w:hint="eastAsia"/>
          <w:sz w:val="24"/>
        </w:rPr>
        <w:t>空间</w:t>
      </w:r>
      <w:r>
        <w:rPr>
          <w:rFonts w:hint="eastAsia"/>
          <w:sz w:val="24"/>
          <w:lang w:val="en-US" w:eastAsia="zh-CN"/>
        </w:rPr>
        <w:t>的亮度空间分布</w:t>
      </w:r>
      <w:r>
        <w:rPr>
          <w:rFonts w:hint="eastAsia"/>
          <w:sz w:val="24"/>
        </w:rPr>
        <w:t>特性</w:t>
      </w:r>
      <w:r>
        <w:rPr>
          <w:rFonts w:hint="eastAsia"/>
          <w:sz w:val="24"/>
          <w:lang w:val="en-US" w:eastAsia="zh-CN"/>
        </w:rPr>
        <w:t>和色品坐标空间分布</w:t>
      </w:r>
      <w:r>
        <w:rPr>
          <w:rFonts w:hint="eastAsia"/>
          <w:sz w:val="24"/>
        </w:rPr>
        <w:t>特性，测试新制定</w:t>
      </w:r>
      <w:r>
        <w:rPr>
          <w:rFonts w:hint="eastAsia"/>
          <w:sz w:val="24"/>
          <w:lang w:val="en-US" w:eastAsia="zh-CN"/>
        </w:rPr>
        <w:t>的校准规程</w:t>
      </w:r>
      <w:r>
        <w:rPr>
          <w:rFonts w:hint="eastAsia"/>
          <w:sz w:val="24"/>
        </w:rPr>
        <w:t>的可行性。</w:t>
      </w:r>
    </w:p>
    <w:p w14:paraId="4C2B4DD7"/>
    <w:p w14:paraId="157D425E">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实验地点及时间</w:t>
      </w:r>
    </w:p>
    <w:p w14:paraId="12DDCE72">
      <w:pPr>
        <w:ind w:firstLine="420" w:firstLineChars="0"/>
        <w:rPr>
          <w:sz w:val="24"/>
          <w:szCs w:val="32"/>
        </w:rPr>
      </w:pPr>
      <w:r>
        <w:rPr>
          <w:rFonts w:hint="eastAsia"/>
          <w:sz w:val="24"/>
          <w:szCs w:val="32"/>
        </w:rPr>
        <w:t>中国计量科学研究院</w:t>
      </w:r>
      <w:r>
        <w:rPr>
          <w:rFonts w:hint="eastAsia"/>
          <w:sz w:val="24"/>
          <w:szCs w:val="32"/>
          <w:lang w:val="en-US" w:eastAsia="zh-CN"/>
        </w:rPr>
        <w:t>和平里院</w:t>
      </w:r>
      <w:r>
        <w:rPr>
          <w:rFonts w:hint="eastAsia"/>
          <w:sz w:val="24"/>
          <w:szCs w:val="32"/>
        </w:rPr>
        <w:t>区1</w:t>
      </w:r>
      <w:r>
        <w:rPr>
          <w:rFonts w:hint="eastAsia"/>
          <w:sz w:val="24"/>
          <w:szCs w:val="32"/>
          <w:lang w:val="en-US" w:eastAsia="zh-CN"/>
        </w:rPr>
        <w:t>3</w:t>
      </w:r>
      <w:r>
        <w:rPr>
          <w:rFonts w:hint="eastAsia"/>
          <w:sz w:val="24"/>
          <w:szCs w:val="32"/>
        </w:rPr>
        <w:t>号楼</w:t>
      </w:r>
      <w:r>
        <w:rPr>
          <w:rFonts w:hint="eastAsia"/>
          <w:sz w:val="24"/>
          <w:szCs w:val="32"/>
          <w:lang w:val="en-US" w:eastAsia="zh-CN"/>
        </w:rPr>
        <w:t>317</w:t>
      </w:r>
      <w:r>
        <w:rPr>
          <w:rFonts w:hint="eastAsia"/>
          <w:sz w:val="24"/>
          <w:szCs w:val="32"/>
        </w:rPr>
        <w:t>室。20</w:t>
      </w:r>
      <w:r>
        <w:rPr>
          <w:rFonts w:hint="eastAsia"/>
          <w:sz w:val="24"/>
          <w:szCs w:val="32"/>
          <w:lang w:val="en-US" w:eastAsia="zh-CN"/>
        </w:rPr>
        <w:t>24</w:t>
      </w:r>
      <w:r>
        <w:rPr>
          <w:rFonts w:hint="eastAsia"/>
          <w:sz w:val="24"/>
          <w:szCs w:val="32"/>
        </w:rPr>
        <w:t>年</w:t>
      </w:r>
      <w:r>
        <w:rPr>
          <w:rFonts w:hint="eastAsia"/>
          <w:sz w:val="24"/>
          <w:szCs w:val="32"/>
          <w:lang w:val="en-US" w:eastAsia="zh-CN"/>
        </w:rPr>
        <w:t>9</w:t>
      </w:r>
      <w:r>
        <w:rPr>
          <w:rFonts w:hint="eastAsia"/>
          <w:sz w:val="24"/>
          <w:szCs w:val="32"/>
        </w:rPr>
        <w:t>月</w:t>
      </w:r>
      <w:r>
        <w:rPr>
          <w:rFonts w:hint="eastAsia"/>
          <w:sz w:val="24"/>
          <w:szCs w:val="32"/>
          <w:lang w:val="en-US" w:eastAsia="zh-CN"/>
        </w:rPr>
        <w:t>1日至31</w:t>
      </w:r>
      <w:r>
        <w:rPr>
          <w:rFonts w:hint="eastAsia"/>
          <w:sz w:val="24"/>
          <w:szCs w:val="32"/>
        </w:rPr>
        <w:t>日。</w:t>
      </w:r>
    </w:p>
    <w:p w14:paraId="670AD338"/>
    <w:p w14:paraId="1009F4AB">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环境条件</w:t>
      </w:r>
    </w:p>
    <w:p w14:paraId="6DE5031C">
      <w:pPr>
        <w:ind w:firstLine="420" w:firstLineChars="0"/>
        <w:rPr>
          <w:rFonts w:hint="eastAsia" w:ascii="宋体" w:hAnsi="宋体" w:eastAsia="宋体"/>
          <w:sz w:val="24"/>
          <w:szCs w:val="24"/>
          <w:lang w:val="en-US" w:eastAsia="zh-CN"/>
        </w:rPr>
      </w:pPr>
      <w:r>
        <w:rPr>
          <w:rFonts w:hint="eastAsia" w:ascii="宋体" w:hAnsi="宋体"/>
          <w:sz w:val="24"/>
          <w:szCs w:val="24"/>
        </w:rPr>
        <w:t>温度</w:t>
      </w:r>
      <w:r>
        <w:rPr>
          <w:rFonts w:hint="eastAsia" w:ascii="宋体" w:hAnsi="宋体"/>
          <w:sz w:val="24"/>
          <w:szCs w:val="24"/>
          <w:lang w:val="en-US" w:eastAsia="zh-CN"/>
        </w:rPr>
        <w:t>(</w:t>
      </w:r>
      <w:r>
        <w:rPr>
          <w:rFonts w:hint="eastAsia" w:ascii="宋体" w:hAnsi="宋体"/>
          <w:sz w:val="24"/>
          <w:szCs w:val="24"/>
        </w:rPr>
        <w:t>2</w:t>
      </w:r>
      <w:r>
        <w:rPr>
          <w:rFonts w:hint="eastAsia" w:ascii="宋体" w:hAnsi="宋体"/>
          <w:sz w:val="24"/>
          <w:szCs w:val="24"/>
          <w:lang w:val="en-US" w:eastAsia="zh-CN"/>
        </w:rPr>
        <w:t>3±1)</w:t>
      </w:r>
      <w:r>
        <w:rPr>
          <w:rFonts w:hint="eastAsia" w:ascii="宋体" w:hAnsi="宋体"/>
          <w:sz w:val="24"/>
          <w:szCs w:val="24"/>
        </w:rPr>
        <w:t>℃，湿度</w:t>
      </w:r>
      <w:r>
        <w:rPr>
          <w:rFonts w:hint="eastAsia" w:ascii="宋体" w:hAnsi="宋体"/>
          <w:sz w:val="24"/>
          <w:szCs w:val="24"/>
          <w:lang w:val="en-US" w:eastAsia="zh-CN"/>
        </w:rPr>
        <w:t>(</w:t>
      </w:r>
      <w:r>
        <w:rPr>
          <w:rFonts w:hint="eastAsia" w:ascii="宋体" w:hAnsi="宋体"/>
          <w:sz w:val="24"/>
          <w:szCs w:val="24"/>
        </w:rPr>
        <w:t>5</w:t>
      </w:r>
      <w:r>
        <w:rPr>
          <w:rFonts w:hint="eastAsia" w:ascii="宋体" w:hAnsi="宋体"/>
          <w:sz w:val="24"/>
          <w:szCs w:val="24"/>
          <w:lang w:val="en-US" w:eastAsia="zh-CN"/>
        </w:rPr>
        <w:t>0±10)</w:t>
      </w:r>
      <w:r>
        <w:rPr>
          <w:rFonts w:hint="eastAsia" w:ascii="宋体" w:hAnsi="宋体"/>
          <w:sz w:val="24"/>
          <w:szCs w:val="24"/>
        </w:rPr>
        <w:t>%</w:t>
      </w:r>
      <w:r>
        <w:rPr>
          <w:rFonts w:hint="eastAsia" w:ascii="宋体" w:hAnsi="宋体"/>
          <w:sz w:val="24"/>
          <w:szCs w:val="24"/>
          <w:lang w:eastAsia="zh-CN"/>
        </w:rPr>
        <w:t>。</w:t>
      </w:r>
    </w:p>
    <w:p w14:paraId="6C7BA197">
      <w:pPr>
        <w:ind w:left="360"/>
        <w:rPr>
          <w:rFonts w:ascii="宋体" w:hAnsi="宋体"/>
          <w:szCs w:val="21"/>
        </w:rPr>
      </w:pPr>
    </w:p>
    <w:p w14:paraId="71821DE3">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设备</w:t>
      </w:r>
    </w:p>
    <w:p w14:paraId="29870D8C">
      <w:pPr>
        <w:ind w:left="360"/>
        <w:rPr>
          <w:rFonts w:hint="eastAsia"/>
          <w:sz w:val="24"/>
          <w:szCs w:val="32"/>
          <w:lang w:val="en-US" w:eastAsia="zh-CN"/>
        </w:rPr>
      </w:pPr>
      <w:r>
        <w:rPr>
          <w:rFonts w:hint="eastAsia"/>
          <w:sz w:val="24"/>
          <w:szCs w:val="32"/>
          <w:lang w:val="en-US" w:eastAsia="zh-CN"/>
        </w:rPr>
        <w:t>校准装置由设备组成：</w:t>
      </w:r>
    </w:p>
    <w:p w14:paraId="52C9F2D6">
      <w:pPr>
        <w:numPr>
          <w:ilvl w:val="0"/>
          <w:numId w:val="2"/>
        </w:numPr>
        <w:ind w:left="425" w:leftChars="0" w:hanging="425" w:firstLineChars="0"/>
        <w:rPr>
          <w:rFonts w:hint="eastAsia"/>
          <w:sz w:val="24"/>
          <w:szCs w:val="32"/>
          <w:lang w:val="en-US" w:eastAsia="zh-CN"/>
        </w:rPr>
      </w:pPr>
      <w:r>
        <w:rPr>
          <w:rFonts w:hint="eastAsia"/>
          <w:sz w:val="24"/>
          <w:szCs w:val="32"/>
          <w:lang w:val="en-US" w:eastAsia="zh-CN"/>
        </w:rPr>
        <w:t xml:space="preserve">Mini </w:t>
      </w:r>
      <w:r>
        <w:rPr>
          <w:sz w:val="24"/>
        </w:rPr>
        <w:t>LED</w:t>
      </w:r>
      <w:r>
        <w:rPr>
          <w:rFonts w:hint="eastAsia"/>
          <w:sz w:val="24"/>
        </w:rPr>
        <w:t>显示屏空间光色特性</w:t>
      </w:r>
      <w:r>
        <w:rPr>
          <w:rFonts w:hint="eastAsia"/>
          <w:sz w:val="24"/>
          <w:lang w:val="en-US" w:eastAsia="zh-CN"/>
        </w:rPr>
        <w:t>测量装置，由</w:t>
      </w:r>
      <w:bookmarkStart w:id="0" w:name="OLE_LINK14"/>
      <w:r>
        <w:rPr>
          <w:rFonts w:hint="eastAsia" w:asciiTheme="minorEastAsia" w:hAnsiTheme="minorEastAsia"/>
          <w:sz w:val="24"/>
          <w:szCs w:val="24"/>
          <w:lang w:val="en-US" w:eastAsia="zh-CN"/>
        </w:rPr>
        <w:t>多维转台</w:t>
      </w:r>
      <w:bookmarkEnd w:id="0"/>
      <w:r>
        <w:rPr>
          <w:rFonts w:hint="eastAsia" w:asciiTheme="minorEastAsia" w:hAnsiTheme="minorEastAsia"/>
          <w:sz w:val="24"/>
          <w:szCs w:val="24"/>
          <w:lang w:val="en-US" w:eastAsia="zh-CN"/>
        </w:rPr>
        <w:t>和单点式</w:t>
      </w:r>
      <w:r>
        <w:rPr>
          <w:rFonts w:hint="eastAsia" w:asciiTheme="minorEastAsia" w:hAnsiTheme="minorEastAsia" w:eastAsiaTheme="minorEastAsia"/>
          <w:sz w:val="24"/>
          <w:szCs w:val="24"/>
        </w:rPr>
        <w:t>光谱辐射亮度计</w:t>
      </w:r>
      <w:r>
        <w:rPr>
          <w:rFonts w:hint="eastAsia" w:asciiTheme="minorEastAsia" w:hAnsiTheme="minorEastAsia" w:eastAsiaTheme="minorEastAsia"/>
          <w:sz w:val="24"/>
          <w:szCs w:val="24"/>
          <w:lang w:val="en-US" w:eastAsia="zh-CN"/>
        </w:rPr>
        <w:t>组成</w:t>
      </w:r>
      <w:r>
        <w:rPr>
          <w:rFonts w:hint="eastAsia" w:ascii="宋体" w:hAnsi="宋体" w:cs="宋体"/>
          <w:sz w:val="24"/>
          <w:szCs w:val="32"/>
          <w:lang w:val="en-US" w:eastAsia="zh-CN"/>
        </w:rPr>
        <w:t>；</w:t>
      </w:r>
    </w:p>
    <w:p w14:paraId="3729F37D">
      <w:pPr>
        <w:numPr>
          <w:numId w:val="0"/>
        </w:numPr>
        <w:ind w:leftChars="0"/>
        <w:rPr>
          <w:rFonts w:hint="eastAsia"/>
          <w:sz w:val="24"/>
          <w:szCs w:val="32"/>
          <w:lang w:val="en-US" w:eastAsia="zh-CN"/>
        </w:rPr>
      </w:pPr>
    </w:p>
    <w:p w14:paraId="5CB9840C">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 xml:space="preserve">人： </w:t>
      </w:r>
    </w:p>
    <w:p w14:paraId="12B8DA30">
      <w:pPr>
        <w:ind w:left="360"/>
        <w:rPr>
          <w:rFonts w:hint="eastAsia" w:ascii="宋体" w:hAnsi="宋体"/>
          <w:sz w:val="24"/>
          <w:szCs w:val="36"/>
        </w:rPr>
      </w:pPr>
      <w:r>
        <w:rPr>
          <w:rFonts w:hint="eastAsia" w:ascii="宋体" w:hAnsi="宋体"/>
          <w:sz w:val="24"/>
          <w:szCs w:val="36"/>
        </w:rPr>
        <w:tab/>
      </w:r>
      <w:r>
        <w:rPr>
          <w:rFonts w:hint="eastAsia" w:ascii="宋体" w:hAnsi="宋体"/>
          <w:sz w:val="24"/>
          <w:szCs w:val="36"/>
        </w:rPr>
        <w:t>校准人：赵伟强 刘慧</w:t>
      </w:r>
    </w:p>
    <w:p w14:paraId="629D62DB">
      <w:pPr>
        <w:rPr>
          <w:rFonts w:hint="eastAsia" w:ascii="宋体" w:hAnsi="宋体"/>
          <w:szCs w:val="28"/>
        </w:rPr>
      </w:pPr>
    </w:p>
    <w:p w14:paraId="41982F67">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被检</w:t>
      </w:r>
      <w:r>
        <w:rPr>
          <w:rFonts w:hint="eastAsia" w:ascii="华文楷体" w:hAnsi="华文楷体" w:eastAsia="华文楷体"/>
          <w:sz w:val="28"/>
          <w:szCs w:val="28"/>
        </w:rPr>
        <w:t>/校</w:t>
      </w:r>
      <w:r>
        <w:rPr>
          <w:rFonts w:hint="eastAsia" w:eastAsia="华文楷体"/>
          <w:sz w:val="28"/>
          <w:szCs w:val="28"/>
        </w:rPr>
        <w:t>样品信息：</w:t>
      </w:r>
    </w:p>
    <w:p w14:paraId="47C90FB8">
      <w:pPr>
        <w:ind w:left="0" w:leftChars="0" w:firstLine="420" w:firstLineChars="175"/>
        <w:rPr>
          <w:rFonts w:hint="eastAsia" w:ascii="宋体" w:hAnsi="宋体" w:cs="宋体"/>
          <w:kern w:val="0"/>
          <w:sz w:val="24"/>
          <w:szCs w:val="24"/>
          <w:lang w:val="en-US" w:eastAsia="zh-CN" w:bidi="ar-SA"/>
        </w:rPr>
      </w:pPr>
      <w:r>
        <w:rPr>
          <w:rFonts w:hint="eastAsia"/>
          <w:sz w:val="24"/>
          <w:lang w:val="en-US" w:eastAsia="zh-CN"/>
        </w:rPr>
        <w:t>待校</w:t>
      </w:r>
      <w:r>
        <w:rPr>
          <w:rFonts w:hint="eastAsia" w:ascii="宋体" w:hAnsi="宋体" w:eastAsia="宋体" w:cs="宋体"/>
          <w:sz w:val="24"/>
        </w:rPr>
        <w:t>屏</w:t>
      </w:r>
      <w:r>
        <w:rPr>
          <w:rFonts w:hint="eastAsia" w:ascii="宋体" w:hAnsi="宋体" w:eastAsia="宋体" w:cs="宋体"/>
          <w:sz w:val="24"/>
          <w:szCs w:val="36"/>
          <w:lang w:val="en-US" w:eastAsia="zh-CN"/>
        </w:rPr>
        <w:t xml:space="preserve">是Mini </w:t>
      </w:r>
      <w:r>
        <w:rPr>
          <w:rFonts w:hint="eastAsia" w:ascii="宋体" w:hAnsi="宋体" w:eastAsia="宋体" w:cs="宋体"/>
          <w:kern w:val="0"/>
          <w:sz w:val="24"/>
        </w:rPr>
        <w:t>LED</w:t>
      </w:r>
      <w:r>
        <w:rPr>
          <w:rFonts w:hint="eastAsia" w:ascii="宋体" w:hAnsi="宋体" w:eastAsia="宋体" w:cs="宋体"/>
          <w:kern w:val="0"/>
          <w:sz w:val="24"/>
          <w:lang w:val="en-US" w:eastAsia="zh-CN"/>
        </w:rPr>
        <w:t>直显显示屏1只和</w:t>
      </w:r>
      <w:r>
        <w:rPr>
          <w:rFonts w:hint="eastAsia" w:ascii="宋体" w:hAnsi="宋体" w:eastAsia="宋体" w:cs="宋体"/>
          <w:sz w:val="24"/>
          <w:szCs w:val="36"/>
          <w:lang w:val="en-US" w:eastAsia="zh-CN"/>
        </w:rPr>
        <w:t xml:space="preserve">Mini </w:t>
      </w:r>
      <w:r>
        <w:rPr>
          <w:rFonts w:hint="eastAsia" w:ascii="宋体" w:hAnsi="宋体" w:eastAsia="宋体" w:cs="宋体"/>
          <w:kern w:val="0"/>
          <w:sz w:val="24"/>
        </w:rPr>
        <w:t>LED</w:t>
      </w:r>
      <w:r>
        <w:rPr>
          <w:rFonts w:hint="eastAsia" w:ascii="宋体" w:hAnsi="宋体" w:eastAsia="宋体" w:cs="宋体"/>
          <w:kern w:val="0"/>
          <w:sz w:val="24"/>
          <w:lang w:val="en-US" w:eastAsia="zh-CN"/>
        </w:rPr>
        <w:t>背显显示屏1只</w:t>
      </w:r>
      <w:r>
        <w:rPr>
          <w:rFonts w:hint="eastAsia" w:ascii="宋体" w:hAnsi="宋体" w:eastAsia="宋体" w:cs="宋体"/>
          <w:sz w:val="24"/>
          <w:szCs w:val="32"/>
          <w:lang w:val="en-US" w:eastAsia="zh-CN"/>
        </w:rPr>
        <w:t>。</w:t>
      </w:r>
      <w:r>
        <w:rPr>
          <w:rFonts w:hint="eastAsia" w:ascii="宋体" w:hAnsi="宋体" w:cs="宋体"/>
          <w:sz w:val="24"/>
          <w:szCs w:val="32"/>
          <w:lang w:val="en-US" w:eastAsia="zh-CN"/>
        </w:rPr>
        <w:t>其中</w:t>
      </w:r>
      <w:r>
        <w:rPr>
          <w:rFonts w:hint="eastAsia" w:ascii="宋体" w:hAnsi="宋体" w:eastAsia="宋体" w:cs="宋体"/>
          <w:kern w:val="0"/>
          <w:sz w:val="24"/>
          <w:szCs w:val="24"/>
          <w:lang w:val="en-US" w:eastAsia="zh-CN" w:bidi="ar-SA"/>
        </w:rPr>
        <w:t>Mini LED直显显示屏</w:t>
      </w:r>
      <w:r>
        <w:rPr>
          <w:rFonts w:hint="eastAsia" w:ascii="宋体" w:hAnsi="宋体" w:cs="宋体"/>
          <w:kern w:val="0"/>
          <w:sz w:val="24"/>
          <w:szCs w:val="24"/>
          <w:lang w:val="en-US" w:eastAsia="zh-CN" w:bidi="ar-SA"/>
        </w:rPr>
        <w:t>的</w:t>
      </w:r>
      <w:r>
        <w:rPr>
          <w:rFonts w:hint="eastAsia" w:ascii="宋体" w:hAnsi="宋体" w:eastAsia="宋体" w:cs="宋体"/>
          <w:kern w:val="0"/>
          <w:sz w:val="24"/>
          <w:szCs w:val="24"/>
          <w:lang w:val="en-US" w:eastAsia="zh-CN" w:bidi="ar-SA"/>
        </w:rPr>
        <w:t xml:space="preserve">外形尺寸是600 mm × </w:t>
      </w:r>
      <w:r>
        <w:rPr>
          <w:rFonts w:hint="eastAsia" w:ascii="宋体" w:hAnsi="宋体" w:cs="宋体"/>
          <w:kern w:val="0"/>
          <w:sz w:val="24"/>
          <w:szCs w:val="24"/>
          <w:lang w:val="en-US" w:eastAsia="zh-CN" w:bidi="ar-SA"/>
        </w:rPr>
        <w:t>3</w:t>
      </w:r>
      <w:r>
        <w:rPr>
          <w:rFonts w:hint="eastAsia" w:ascii="宋体" w:hAnsi="宋体" w:eastAsia="宋体" w:cs="宋体"/>
          <w:kern w:val="0"/>
          <w:sz w:val="24"/>
          <w:szCs w:val="24"/>
          <w:lang w:val="en-US" w:eastAsia="zh-CN" w:bidi="ar-SA"/>
        </w:rPr>
        <w:t>40 mm</w:t>
      </w:r>
      <w:r>
        <w:rPr>
          <w:rFonts w:hint="eastAsia" w:ascii="宋体" w:hAnsi="宋体" w:cs="宋体"/>
          <w:kern w:val="0"/>
          <w:sz w:val="24"/>
          <w:szCs w:val="24"/>
          <w:lang w:val="en-US" w:eastAsia="zh-CN" w:bidi="ar-SA"/>
        </w:rPr>
        <w:t>，</w:t>
      </w:r>
      <w:r>
        <w:rPr>
          <w:rFonts w:hint="eastAsia" w:ascii="宋体" w:hAnsi="宋体" w:eastAsia="宋体" w:cs="宋体"/>
          <w:kern w:val="0"/>
          <w:sz w:val="24"/>
          <w:szCs w:val="24"/>
          <w:lang w:val="en-US" w:eastAsia="zh-CN" w:bidi="ar-SA"/>
        </w:rPr>
        <w:t>Mini LED</w:t>
      </w:r>
      <w:r>
        <w:rPr>
          <w:rFonts w:hint="eastAsia" w:ascii="宋体" w:hAnsi="宋体" w:cs="宋体"/>
          <w:kern w:val="0"/>
          <w:sz w:val="24"/>
          <w:szCs w:val="24"/>
          <w:lang w:val="en-US" w:eastAsia="zh-CN" w:bidi="ar-SA"/>
        </w:rPr>
        <w:t>背</w:t>
      </w:r>
      <w:r>
        <w:rPr>
          <w:rFonts w:hint="eastAsia" w:ascii="宋体" w:hAnsi="宋体" w:eastAsia="宋体" w:cs="宋体"/>
          <w:kern w:val="0"/>
          <w:sz w:val="24"/>
          <w:szCs w:val="24"/>
          <w:lang w:val="en-US" w:eastAsia="zh-CN" w:bidi="ar-SA"/>
        </w:rPr>
        <w:t>显显示屏</w:t>
      </w:r>
      <w:r>
        <w:rPr>
          <w:rFonts w:hint="eastAsia" w:ascii="宋体" w:hAnsi="宋体" w:cs="宋体"/>
          <w:kern w:val="0"/>
          <w:sz w:val="24"/>
          <w:szCs w:val="24"/>
          <w:lang w:val="en-US" w:eastAsia="zh-CN" w:bidi="ar-SA"/>
        </w:rPr>
        <w:t>的</w:t>
      </w:r>
      <w:r>
        <w:rPr>
          <w:rFonts w:hint="eastAsia" w:ascii="宋体" w:hAnsi="宋体" w:eastAsia="宋体" w:cs="宋体"/>
          <w:kern w:val="0"/>
          <w:sz w:val="24"/>
          <w:szCs w:val="24"/>
          <w:lang w:val="en-US" w:eastAsia="zh-CN" w:bidi="ar-SA"/>
        </w:rPr>
        <w:t>外形尺寸是569 mm × 310 mm</w:t>
      </w:r>
      <w:r>
        <w:rPr>
          <w:rFonts w:hint="eastAsia" w:ascii="宋体" w:hAnsi="宋体" w:cs="宋体"/>
          <w:kern w:val="0"/>
          <w:sz w:val="24"/>
          <w:szCs w:val="24"/>
          <w:lang w:val="en-US" w:eastAsia="zh-CN" w:bidi="ar-SA"/>
        </w:rPr>
        <w:t>。两只显示屏的图片分别见图1和图2。</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108" w:type="dxa"/>
          <w:right w:w="108" w:type="dxa"/>
        </w:tblCellMar>
      </w:tblPr>
      <w:tblGrid>
        <w:gridCol w:w="4051"/>
        <w:gridCol w:w="4051"/>
      </w:tblGrid>
      <w:tr w14:paraId="6CC63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051" w:type="dxa"/>
          </w:tcPr>
          <w:p w14:paraId="3A0E8A20">
            <w:pPr>
              <w:jc w:val="center"/>
              <w:rPr>
                <w:rFonts w:hint="default" w:ascii="宋体" w:hAnsi="宋体" w:cs="宋体"/>
                <w:kern w:val="0"/>
                <w:sz w:val="24"/>
                <w:szCs w:val="24"/>
                <w:vertAlign w:val="baseline"/>
                <w:lang w:val="en-US" w:eastAsia="zh-CN" w:bidi="ar-SA"/>
              </w:rPr>
            </w:pPr>
            <w:r>
              <w:drawing>
                <wp:inline distT="0" distB="0" distL="114300" distR="114300">
                  <wp:extent cx="2341880" cy="1774825"/>
                  <wp:effectExtent l="0" t="0" r="5080" b="8255"/>
                  <wp:docPr id="4" name="图片 4" descr="IMG_20241011_07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241011_073417"/>
                          <pic:cNvPicPr>
                            <a:picLocks noChangeAspect="1"/>
                          </pic:cNvPicPr>
                        </pic:nvPicPr>
                        <pic:blipFill>
                          <a:blip r:embed="rId4"/>
                          <a:srcRect r="12167" b="11303"/>
                          <a:stretch>
                            <a:fillRect/>
                          </a:stretch>
                        </pic:blipFill>
                        <pic:spPr>
                          <a:xfrm>
                            <a:off x="0" y="0"/>
                            <a:ext cx="2341880" cy="1774825"/>
                          </a:xfrm>
                          <a:prstGeom prst="rect">
                            <a:avLst/>
                          </a:prstGeom>
                        </pic:spPr>
                      </pic:pic>
                    </a:graphicData>
                  </a:graphic>
                </wp:inline>
              </w:drawing>
            </w:r>
          </w:p>
        </w:tc>
        <w:tc>
          <w:tcPr>
            <w:tcW w:w="4051" w:type="dxa"/>
          </w:tcPr>
          <w:p w14:paraId="50F24194">
            <w:pPr>
              <w:jc w:val="center"/>
              <w:rPr>
                <w:rFonts w:hint="default" w:ascii="宋体" w:hAnsi="宋体" w:cs="宋体"/>
                <w:kern w:val="0"/>
                <w:sz w:val="24"/>
                <w:szCs w:val="24"/>
                <w:vertAlign w:val="baseline"/>
                <w:lang w:val="en-US" w:eastAsia="zh-CN" w:bidi="ar-SA"/>
              </w:rPr>
            </w:pPr>
            <w:r>
              <w:drawing>
                <wp:inline distT="0" distB="0" distL="114300" distR="114300">
                  <wp:extent cx="2350770" cy="1764030"/>
                  <wp:effectExtent l="0" t="0" r="11430" b="3810"/>
                  <wp:docPr id="103" name="图片 103" descr="IMG_20241031_140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IMG_20241031_140310"/>
                          <pic:cNvPicPr>
                            <a:picLocks noChangeAspect="1"/>
                          </pic:cNvPicPr>
                        </pic:nvPicPr>
                        <pic:blipFill>
                          <a:blip r:embed="rId5"/>
                          <a:stretch>
                            <a:fillRect/>
                          </a:stretch>
                        </pic:blipFill>
                        <pic:spPr>
                          <a:xfrm>
                            <a:off x="0" y="0"/>
                            <a:ext cx="2350770" cy="1764030"/>
                          </a:xfrm>
                          <a:prstGeom prst="rect">
                            <a:avLst/>
                          </a:prstGeom>
                        </pic:spPr>
                      </pic:pic>
                    </a:graphicData>
                  </a:graphic>
                </wp:inline>
              </w:drawing>
            </w:r>
          </w:p>
        </w:tc>
      </w:tr>
      <w:tr w14:paraId="5DF7E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051" w:type="dxa"/>
          </w:tcPr>
          <w:p w14:paraId="30A558B0">
            <w:pPr>
              <w:jc w:val="center"/>
              <w:rPr>
                <w:rFonts w:hint="default" w:ascii="宋体" w:hAnsi="宋体" w:cs="宋体"/>
                <w:kern w:val="0"/>
                <w:sz w:val="24"/>
                <w:szCs w:val="24"/>
                <w:vertAlign w:val="baseline"/>
                <w:lang w:val="en-US" w:eastAsia="zh-CN" w:bidi="ar-SA"/>
              </w:rPr>
            </w:pPr>
            <w:r>
              <w:rPr>
                <w:rFonts w:hint="eastAsia" w:ascii="宋体" w:hAnsi="宋体" w:eastAsia="宋体" w:cs="宋体"/>
                <w:lang w:val="en-US" w:eastAsia="zh-CN"/>
              </w:rPr>
              <w:t>图1 Mini LED直显屏样品图片</w:t>
            </w:r>
          </w:p>
        </w:tc>
        <w:tc>
          <w:tcPr>
            <w:tcW w:w="4051" w:type="dxa"/>
          </w:tcPr>
          <w:p w14:paraId="5A3D8C2C">
            <w:pPr>
              <w:pStyle w:val="3"/>
              <w:jc w:val="center"/>
              <w:rPr>
                <w:rFonts w:hint="default" w:ascii="宋体" w:hAnsi="宋体" w:cs="宋体"/>
                <w:kern w:val="0"/>
                <w:sz w:val="24"/>
                <w:szCs w:val="24"/>
                <w:vertAlign w:val="baseline"/>
                <w:lang w:val="en-US" w:eastAsia="zh-CN" w:bidi="ar-SA"/>
              </w:rPr>
            </w:pPr>
            <w:r>
              <w:rPr>
                <w:rFonts w:hint="eastAsia" w:ascii="宋体" w:hAnsi="宋体" w:eastAsia="宋体" w:cs="宋体"/>
              </w:rPr>
              <w:t xml:space="preserve">图 </w:t>
            </w:r>
            <w:bookmarkStart w:id="1" w:name="_Toc28046"/>
            <w:r>
              <w:rPr>
                <w:rFonts w:hint="eastAsia" w:ascii="宋体" w:hAnsi="宋体" w:eastAsia="宋体" w:cs="宋体"/>
                <w:lang w:val="en-US" w:eastAsia="zh-CN"/>
              </w:rPr>
              <w:t>2</w:t>
            </w:r>
            <w:r>
              <w:rPr>
                <w:rFonts w:hint="eastAsia" w:ascii="宋体" w:hAnsi="宋体" w:eastAsia="宋体" w:cs="宋体"/>
              </w:rPr>
              <w:t xml:space="preserve"> Mini LED背显屏的实物照片</w:t>
            </w:r>
            <w:bookmarkEnd w:id="1"/>
          </w:p>
        </w:tc>
      </w:tr>
    </w:tbl>
    <w:p w14:paraId="43953510">
      <w:pPr>
        <w:ind w:left="0" w:leftChars="0" w:firstLine="420" w:firstLineChars="175"/>
        <w:rPr>
          <w:rFonts w:hint="default" w:ascii="宋体" w:hAnsi="宋体" w:cs="宋体"/>
          <w:kern w:val="0"/>
          <w:sz w:val="24"/>
          <w:szCs w:val="24"/>
          <w:lang w:val="en-US" w:eastAsia="zh-CN" w:bidi="ar-SA"/>
        </w:rPr>
      </w:pPr>
    </w:p>
    <w:p w14:paraId="1C0F74E6">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方法及结果：</w:t>
      </w:r>
    </w:p>
    <w:p w14:paraId="2897ACEC"/>
    <w:p w14:paraId="2588D615">
      <w:pPr>
        <w:ind w:firstLine="480" w:firstLineChars="200"/>
        <w:rPr>
          <w:rFonts w:hint="eastAsia"/>
          <w:sz w:val="24"/>
          <w:szCs w:val="24"/>
          <w:lang w:val="en-US" w:eastAsia="zh-CN"/>
        </w:rPr>
      </w:pPr>
      <w:r>
        <w:rPr>
          <w:rFonts w:hint="eastAsia"/>
          <w:sz w:val="24"/>
          <w:szCs w:val="24"/>
          <w:lang w:val="en-US" w:eastAsia="zh-CN"/>
        </w:rPr>
        <w:t>显示屏的</w:t>
      </w:r>
      <w:r>
        <w:rPr>
          <w:rFonts w:hint="eastAsia"/>
          <w:sz w:val="24"/>
          <w:lang w:val="en-US" w:eastAsia="zh-CN"/>
        </w:rPr>
        <w:t>亮度空间分布</w:t>
      </w:r>
      <w:r>
        <w:rPr>
          <w:rFonts w:hint="eastAsia"/>
          <w:sz w:val="24"/>
        </w:rPr>
        <w:t>特性</w:t>
      </w:r>
      <w:r>
        <w:rPr>
          <w:rFonts w:hint="eastAsia"/>
          <w:sz w:val="24"/>
          <w:lang w:val="en-US" w:eastAsia="zh-CN"/>
        </w:rPr>
        <w:t>和色品坐标空间分布</w:t>
      </w:r>
      <w:r>
        <w:rPr>
          <w:rFonts w:hint="eastAsia"/>
          <w:sz w:val="24"/>
        </w:rPr>
        <w:t>特性</w:t>
      </w:r>
      <w:r>
        <w:rPr>
          <w:rFonts w:hint="eastAsia"/>
          <w:sz w:val="24"/>
          <w:lang w:val="en-US" w:eastAsia="zh-CN"/>
        </w:rPr>
        <w:t>的校准方法见</w:t>
      </w:r>
      <w:r>
        <w:rPr>
          <w:rFonts w:hint="eastAsia"/>
          <w:sz w:val="24"/>
          <w:szCs w:val="24"/>
          <w:lang w:val="en-US" w:eastAsia="zh-CN"/>
        </w:rPr>
        <w:t>“Mini显示屏空间光色特性校准规范”草稿。测量结果保存在Excel文件中。</w:t>
      </w:r>
    </w:p>
    <w:p w14:paraId="37BAAEDC">
      <w:pPr>
        <w:ind w:firstLine="480" w:firstLineChars="200"/>
        <w:rPr>
          <w:rFonts w:hint="eastAsia"/>
          <w:sz w:val="24"/>
          <w:szCs w:val="24"/>
          <w:lang w:val="en-US" w:eastAsia="zh-CN"/>
        </w:rPr>
      </w:pPr>
    </w:p>
    <w:p w14:paraId="17A3BC0E">
      <w:pPr>
        <w:rPr>
          <w:rFonts w:hint="eastAsia"/>
          <w:sz w:val="24"/>
          <w:szCs w:val="24"/>
          <w:lang w:val="en-US" w:eastAsia="zh-CN"/>
        </w:rPr>
      </w:pPr>
      <w:r>
        <w:rPr>
          <w:rFonts w:hint="eastAsia"/>
          <w:sz w:val="24"/>
          <w:szCs w:val="24"/>
          <w:lang w:val="en-US" w:eastAsia="zh-CN"/>
        </w:rPr>
        <w:t>7.1 Mini LED直显屏校准条件说明</w:t>
      </w:r>
    </w:p>
    <w:p w14:paraId="27416B01">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首先实验移动被测样品的垂直轴和水平轴，使得被测显示屏的中心位置和测量装置的测量工作轴重合。</w:t>
      </w:r>
    </w:p>
    <w:p w14:paraId="01001A88">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实验测出显示屏支架移动轴位置θH（水平移动轴）=27.47mm，θV（垂直移动轴）=-17.36mm时，显示屏中心和测量装置的测量工作轴重合。</w:t>
      </w:r>
    </w:p>
    <w:p w14:paraId="03FD9A24">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在程序中输入显示屏的大小尺寸，即水平宽度600 mm，垂直高度340 mm，选择分区方案9 × 9（即水平和垂直方向各分成9块，共计81个区域，测量每个区域的中心点附件的亮度和颜色）；设定天空角度的测量范围是（-50°~ 50°），采样间隔是10°；设定大地角度的测量范围是（0°~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160°），采样间隔是10°。</w:t>
      </w:r>
    </w:p>
    <w:p w14:paraId="330F0011">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程序</w:t>
      </w:r>
      <w:r>
        <w:rPr>
          <w:rFonts w:hint="default" w:ascii="Times New Roman" w:hAnsi="Times New Roman" w:eastAsia="宋体" w:cs="Times New Roman"/>
          <w:sz w:val="24"/>
          <w:szCs w:val="24"/>
          <w:lang w:val="en-US" w:eastAsia="zh-CN"/>
        </w:rPr>
        <w:t>产生</w:t>
      </w:r>
      <w:r>
        <w:rPr>
          <w:rFonts w:hint="default" w:ascii="Times New Roman" w:hAnsi="Times New Roman" w:eastAsia="宋体" w:cs="Times New Roman"/>
          <w:sz w:val="24"/>
          <w:szCs w:val="24"/>
        </w:rPr>
        <w:t>测量序列15147个。</w:t>
      </w:r>
    </w:p>
    <w:p w14:paraId="61824D5D">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设定光谱辐射亮度计的测量视场角为1°，测量距离是1500</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mm，在垂直方向上对应显示屏采样区域的直径约26</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mm，面积约530</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4"/>
          <w:szCs w:val="24"/>
        </w:rPr>
        <w:t>。</w:t>
      </w:r>
    </w:p>
    <w:p w14:paraId="41E44F12">
      <w:p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使用计量院设计的信号发生器产生白场信号，显示屏预热30 min后，开始测量。测量结果保存</w:t>
      </w:r>
      <w:r>
        <w:rPr>
          <w:rFonts w:hint="default" w:ascii="Times New Roman" w:hAnsi="Times New Roman" w:eastAsia="宋体" w:cs="Times New Roman"/>
          <w:sz w:val="24"/>
          <w:szCs w:val="24"/>
          <w:lang w:val="en-US" w:eastAsia="zh-CN"/>
        </w:rPr>
        <w:t>E</w:t>
      </w:r>
      <w:r>
        <w:rPr>
          <w:rFonts w:hint="default" w:ascii="Times New Roman" w:hAnsi="Times New Roman" w:eastAsia="宋体" w:cs="Times New Roman"/>
          <w:sz w:val="24"/>
          <w:szCs w:val="24"/>
        </w:rPr>
        <w:t>xcel文件。</w:t>
      </w:r>
    </w:p>
    <w:p w14:paraId="39094AFB">
      <w:pPr>
        <w:rPr>
          <w:rFonts w:hint="default" w:ascii="Times New Roman" w:hAnsi="Times New Roman" w:eastAsia="宋体" w:cs="Times New Roman"/>
          <w:sz w:val="24"/>
          <w:szCs w:val="24"/>
        </w:rPr>
      </w:pPr>
    </w:p>
    <w:p w14:paraId="11435A63">
      <w:pPr>
        <w:rPr>
          <w:rFonts w:hint="eastAsia"/>
          <w:sz w:val="24"/>
          <w:szCs w:val="24"/>
          <w:lang w:val="en-US" w:eastAsia="zh-CN"/>
        </w:rPr>
      </w:pPr>
      <w:r>
        <w:rPr>
          <w:rFonts w:hint="eastAsia"/>
          <w:sz w:val="24"/>
          <w:szCs w:val="24"/>
          <w:lang w:val="en-US" w:eastAsia="zh-CN"/>
        </w:rPr>
        <w:t>7.2 Mini LED直显屏校准结果</w:t>
      </w:r>
    </w:p>
    <w:p w14:paraId="7C64127D">
      <w:pPr>
        <w:ind w:firstLine="480" w:firstLineChars="200"/>
        <w:rPr>
          <w:rFonts w:hint="eastAsia"/>
          <w:sz w:val="24"/>
          <w:szCs w:val="24"/>
          <w:lang w:val="en-US" w:eastAsia="zh-CN"/>
        </w:rPr>
      </w:pPr>
      <w:r>
        <w:rPr>
          <w:rFonts w:hint="eastAsia"/>
          <w:sz w:val="24"/>
          <w:szCs w:val="24"/>
          <w:lang w:val="en-US" w:eastAsia="zh-CN"/>
        </w:rPr>
        <w:t>依据规范对待测屏进行空间光色特性进行校准，其校准结果见以下表格。因为篇幅限制，本报告只显示前100行数据（文件共有</w:t>
      </w:r>
      <w:r>
        <w:rPr>
          <w:rFonts w:hint="eastAsia"/>
          <w:lang w:val="en-US" w:eastAsia="zh-CN"/>
        </w:rPr>
        <w:t>15147行</w:t>
      </w:r>
      <w:r>
        <w:rPr>
          <w:rFonts w:hint="eastAsia"/>
          <w:sz w:val="24"/>
          <w:szCs w:val="24"/>
          <w:lang w:val="en-US" w:eastAsia="zh-CN"/>
        </w:rPr>
        <w:t>），其余数据见excel电子文件。</w:t>
      </w:r>
    </w:p>
    <w:p w14:paraId="1A77AFB9">
      <w:pPr>
        <w:ind w:firstLine="480" w:firstLineChars="200"/>
        <w:rPr>
          <w:rFonts w:hint="eastAsia"/>
          <w:sz w:val="24"/>
          <w:szCs w:val="24"/>
          <w:lang w:val="en-US" w:eastAsia="zh-CN"/>
        </w:rPr>
      </w:pPr>
    </w:p>
    <w:p w14:paraId="6991B9E5">
      <w:pPr>
        <w:ind w:firstLine="480" w:firstLineChars="200"/>
        <w:rPr>
          <w:rFonts w:hint="default"/>
          <w:sz w:val="24"/>
          <w:szCs w:val="24"/>
          <w:lang w:val="en-US" w:eastAsia="zh-CN"/>
        </w:rPr>
      </w:pPr>
      <w:r>
        <w:rPr>
          <w:rFonts w:hint="eastAsia"/>
          <w:sz w:val="24"/>
          <w:szCs w:val="24"/>
          <w:lang w:val="en-US" w:eastAsia="zh-CN"/>
        </w:rPr>
        <w:t>表1. Mini LED直显屏校准结果</w:t>
      </w:r>
    </w:p>
    <w:tbl>
      <w:tblPr>
        <w:tblW w:w="82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171"/>
        <w:gridCol w:w="1171"/>
        <w:gridCol w:w="1171"/>
        <w:gridCol w:w="1171"/>
        <w:gridCol w:w="1171"/>
        <w:gridCol w:w="1171"/>
        <w:gridCol w:w="1177"/>
      </w:tblGrid>
      <w:tr w14:paraId="144B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E8B79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Θ1</w:t>
            </w:r>
          </w:p>
          <w:p w14:paraId="17A0D825">
            <w:pPr>
              <w:keepNext w:val="0"/>
              <w:keepLines w:val="0"/>
              <w:widowControl/>
              <w:suppressLineNumbers w:val="0"/>
              <w:jc w:val="center"/>
              <w:textAlignment w:val="center"/>
              <w:rPr>
                <w:rFonts w:hint="eastAsia"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天空</w:t>
            </w:r>
            <w:r>
              <w:rPr>
                <w:rFonts w:hint="eastAsia" w:cs="Times New Roman"/>
                <w:i w:val="0"/>
                <w:iCs w:val="0"/>
                <w:color w:val="000000"/>
                <w:kern w:val="0"/>
                <w:sz w:val="21"/>
                <w:szCs w:val="21"/>
                <w:u w:val="none"/>
                <w:bdr w:val="none" w:color="auto" w:sz="0" w:space="0"/>
                <w:lang w:val="en-US" w:eastAsia="zh-CN" w:bidi="ar"/>
              </w:rPr>
              <w:t>角</w:t>
            </w:r>
          </w:p>
          <w:p w14:paraId="48D340BD">
            <w:pPr>
              <w:keepNext w:val="0"/>
              <w:keepLines w:val="0"/>
              <w:widowControl/>
              <w:suppressLineNumbers w:val="0"/>
              <w:jc w:val="center"/>
              <w:textAlignment w:val="center"/>
              <w:rPr>
                <w:rFonts w:hint="default" w:cs="Times New Roman"/>
                <w:i w:val="0"/>
                <w:iCs w:val="0"/>
                <w:color w:val="000000"/>
                <w:kern w:val="0"/>
                <w:sz w:val="21"/>
                <w:szCs w:val="21"/>
                <w:u w:val="none"/>
                <w:bdr w:val="none" w:color="auto" w:sz="0" w:space="0"/>
                <w:lang w:val="en-US" w:eastAsia="zh-CN" w:bidi="ar"/>
              </w:rPr>
            </w:pPr>
            <w:r>
              <w:rPr>
                <w:rFonts w:hint="eastAsia" w:cs="Times New Roman"/>
                <w:i w:val="0"/>
                <w:iCs w:val="0"/>
                <w:color w:val="000000"/>
                <w:kern w:val="0"/>
                <w:sz w:val="21"/>
                <w:szCs w:val="21"/>
                <w:u w:val="none"/>
                <w:bdr w:val="none" w:color="auto" w:sz="0" w:space="0"/>
                <w:lang w:val="en-US" w:eastAsia="zh-CN" w:bidi="ar"/>
              </w:rPr>
              <w:t>（</w:t>
            </w:r>
            <w:r>
              <w:rPr>
                <w:rFonts w:hint="eastAsia" w:ascii="微软雅黑" w:hAnsi="微软雅黑" w:eastAsia="微软雅黑" w:cs="微软雅黑"/>
                <w:i w:val="0"/>
                <w:iCs w:val="0"/>
                <w:color w:val="000000"/>
                <w:kern w:val="0"/>
                <w:sz w:val="21"/>
                <w:szCs w:val="21"/>
                <w:u w:val="none"/>
                <w:bdr w:val="none" w:color="auto" w:sz="0" w:space="0"/>
                <w:lang w:val="en-US" w:eastAsia="zh-CN" w:bidi="ar"/>
              </w:rPr>
              <w:t>°</w:t>
            </w:r>
            <w:r>
              <w:rPr>
                <w:rFonts w:hint="eastAsia" w:cs="Times New Roman"/>
                <w:i w:val="0"/>
                <w:iCs w:val="0"/>
                <w:color w:val="000000"/>
                <w:kern w:val="0"/>
                <w:sz w:val="21"/>
                <w:szCs w:val="21"/>
                <w:u w:val="none"/>
                <w:bdr w:val="none" w:color="auto" w:sz="0" w:space="0"/>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1E338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Θ2</w:t>
            </w:r>
          </w:p>
          <w:p w14:paraId="419E76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自转</w:t>
            </w:r>
          </w:p>
          <w:p w14:paraId="543726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eastAsia" w:cs="Times New Roman"/>
                <w:i w:val="0"/>
                <w:iCs w:val="0"/>
                <w:color w:val="000000"/>
                <w:kern w:val="0"/>
                <w:sz w:val="21"/>
                <w:szCs w:val="21"/>
                <w:u w:val="none"/>
                <w:lang w:val="en-US" w:eastAsia="zh-CN" w:bidi="ar"/>
              </w:rPr>
              <w:t>（</w:t>
            </w:r>
            <w:r>
              <w:rPr>
                <w:rFonts w:hint="eastAsia" w:ascii="微软雅黑" w:hAnsi="微软雅黑" w:eastAsia="微软雅黑" w:cs="微软雅黑"/>
                <w:i w:val="0"/>
                <w:iCs w:val="0"/>
                <w:color w:val="000000"/>
                <w:kern w:val="0"/>
                <w:sz w:val="21"/>
                <w:szCs w:val="21"/>
                <w:u w:val="none"/>
                <w:lang w:val="en-US" w:eastAsia="zh-CN" w:bidi="ar"/>
              </w:rPr>
              <w:t>°</w:t>
            </w:r>
            <w:r>
              <w:rPr>
                <w:rFonts w:hint="eastAsia" w:cs="Times New Roman"/>
                <w:i w:val="0"/>
                <w:iCs w:val="0"/>
                <w:color w:val="000000"/>
                <w:kern w:val="0"/>
                <w:sz w:val="21"/>
                <w:szCs w:val="21"/>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9A73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H</w:t>
            </w:r>
            <w:r>
              <w:rPr>
                <w:rFonts w:hint="default" w:ascii="Times New Roman" w:hAnsi="Times New Roman" w:eastAsia="宋体" w:cs="Times New Roman"/>
                <w:i w:val="0"/>
                <w:iCs w:val="0"/>
                <w:color w:val="000000"/>
                <w:kern w:val="0"/>
                <w:sz w:val="21"/>
                <w:szCs w:val="21"/>
                <w:u w:val="none"/>
                <w:bdr w:val="none" w:color="auto" w:sz="0" w:space="0"/>
                <w:lang w:val="en-US" w:eastAsia="zh-CN" w:bidi="ar"/>
              </w:rPr>
              <w:t>值</w:t>
            </w:r>
            <w:r>
              <w:rPr>
                <w:rFonts w:hint="eastAsia" w:cs="Times New Roman"/>
                <w:i w:val="0"/>
                <w:iCs w:val="0"/>
                <w:color w:val="000000"/>
                <w:kern w:val="0"/>
                <w:sz w:val="21"/>
                <w:szCs w:val="21"/>
                <w:u w:val="none"/>
                <w:bdr w:val="none" w:color="auto" w:sz="0" w:space="0"/>
                <w:lang w:val="en-US" w:eastAsia="zh-CN" w:bidi="ar"/>
              </w:rPr>
              <w:t>(mm)</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A2B1D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V</w:t>
            </w:r>
            <w:r>
              <w:rPr>
                <w:rFonts w:hint="default" w:ascii="Times New Roman" w:hAnsi="Times New Roman" w:eastAsia="宋体" w:cs="Times New Roman"/>
                <w:i w:val="0"/>
                <w:iCs w:val="0"/>
                <w:color w:val="000000"/>
                <w:kern w:val="0"/>
                <w:sz w:val="21"/>
                <w:szCs w:val="21"/>
                <w:u w:val="none"/>
                <w:bdr w:val="none" w:color="auto" w:sz="0" w:space="0"/>
                <w:lang w:val="en-US" w:eastAsia="zh-CN" w:bidi="ar"/>
              </w:rPr>
              <w:t>值</w:t>
            </w:r>
          </w:p>
          <w:p w14:paraId="2872962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eastAsia" w:cs="Times New Roman"/>
                <w:i w:val="0"/>
                <w:iCs w:val="0"/>
                <w:color w:val="000000"/>
                <w:kern w:val="0"/>
                <w:sz w:val="21"/>
                <w:szCs w:val="21"/>
                <w:u w:val="none"/>
                <w:lang w:val="en-US" w:eastAsia="zh-CN" w:bidi="ar"/>
              </w:rPr>
              <w:t>(mm)</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0E493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eastAsia" w:cs="Times New Roman"/>
                <w:i w:val="0"/>
                <w:iCs w:val="0"/>
                <w:color w:val="000000"/>
                <w:kern w:val="0"/>
                <w:sz w:val="21"/>
                <w:szCs w:val="21"/>
                <w:u w:val="none"/>
                <w:bdr w:val="none" w:color="auto" w:sz="0" w:space="0"/>
                <w:lang w:val="en-US" w:eastAsia="zh-CN" w:bidi="ar"/>
              </w:rPr>
              <w:t>亮度</w:t>
            </w:r>
            <w:r>
              <w:rPr>
                <w:rFonts w:hint="default" w:ascii="Times New Roman" w:hAnsi="Times New Roman" w:eastAsia="宋体" w:cs="Times New Roman"/>
                <w:i w:val="0"/>
                <w:iCs w:val="0"/>
                <w:color w:val="000000"/>
                <w:kern w:val="0"/>
                <w:sz w:val="21"/>
                <w:szCs w:val="21"/>
                <w:u w:val="none"/>
                <w:bdr w:val="none" w:color="auto" w:sz="0" w:space="0"/>
                <w:lang w:val="en-US" w:eastAsia="zh-CN" w:bidi="ar"/>
              </w:rPr>
              <w:t>L</w:t>
            </w:r>
          </w:p>
          <w:p w14:paraId="78CED31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(cd/m²)</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5B171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CIE</w:t>
            </w:r>
          </w:p>
          <w:p w14:paraId="01A62F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x</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648009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bdr w:val="none" w:color="auto" w:sz="0" w:space="0"/>
                <w:lang w:val="en-US" w:eastAsia="zh-CN" w:bidi="ar"/>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CIE</w:t>
            </w:r>
          </w:p>
          <w:p w14:paraId="59891B2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y</w:t>
            </w:r>
          </w:p>
        </w:tc>
      </w:tr>
      <w:tr w14:paraId="3BA9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7D48B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F0B7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C337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973E3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A65B0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1552.8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44B16F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7B006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0.3132</w:t>
            </w:r>
          </w:p>
        </w:tc>
      </w:tr>
      <w:tr w14:paraId="1328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37CE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749B8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3A642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9A2117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851F4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1719.1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A55E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883B92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0.3138</w:t>
            </w:r>
          </w:p>
        </w:tc>
      </w:tr>
      <w:tr w14:paraId="6853C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2AB5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E2BCE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16C29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3CD8A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CCA59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1777.9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550B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0.3102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63838E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50764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640C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73CE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E1A86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F7AA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4BDB0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1822.7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4030BE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B35632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0.3153</w:t>
            </w:r>
          </w:p>
        </w:tc>
      </w:tr>
      <w:tr w14:paraId="1625A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38ED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DB55E5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45479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9B9C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0CFD90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1853.4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CF5462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F5E63C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0.3161</w:t>
            </w:r>
          </w:p>
        </w:tc>
      </w:tr>
      <w:tr w14:paraId="76496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67231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42000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93A22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4146E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4956E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F11B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96AFC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3F72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49F5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3DC5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89B6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7C7DB2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41C2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1870.9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434B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B5F66A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73053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6B51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87DA80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3D9B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1718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DB551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1845.4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9E77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AFFE15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3C546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781F92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F2440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5C60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73CA1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13F20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1792.8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EF1A28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0.2978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EF48F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0836D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168F4D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2BDCE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ADCB6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6D5F40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877D34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1717.4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3A9E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0.2960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C4759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5786F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9D1D4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29D3D3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0B3B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AEBC4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1C19F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1622.4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50DB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0.2932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614C3F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0.3170</w:t>
            </w:r>
          </w:p>
        </w:tc>
      </w:tr>
      <w:tr w14:paraId="6A458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4A6A1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CD0DF8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D6BE2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BCDEB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057FD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1643.8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8427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0.2956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D931E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0.3169</w:t>
            </w:r>
          </w:p>
        </w:tc>
      </w:tr>
      <w:tr w14:paraId="4D424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D3FC1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EEBD8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F9880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2E44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86422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1734.3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9EE0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0.2978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41D8C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405BF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88477A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1A7635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8DF9B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A889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973A0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1805.5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68F8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C82B8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572D5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9E003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4FB40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36CCB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3560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F077FD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1851.2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E799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387AE0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6D336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195D6E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63EFE3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F96CD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7C3877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FC49B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0382C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E4BD43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63BDB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CC2BD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D5678A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2C979E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6CE9E5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5BE1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1867.3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53717E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CCC7BE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55F6E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AFA9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030D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97E2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5D778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4AF41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1844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4A03E0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E3CCB3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534F4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6C463B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AF21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4864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068AD5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92610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2087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0.3063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74EE9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0.3155</w:t>
            </w:r>
          </w:p>
        </w:tc>
      </w:tr>
      <w:tr w14:paraId="3A45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EFE16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06C6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7B8A6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4541B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23D75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1753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AB095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0.3087</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14B36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0.3148</w:t>
            </w:r>
          </w:p>
        </w:tc>
      </w:tr>
      <w:tr w14:paraId="0F14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FAC3F0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72E98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C69F43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F5F1E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836EA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1684.9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46D1E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0.3109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357587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0.3134</w:t>
            </w:r>
          </w:p>
        </w:tc>
      </w:tr>
      <w:tr w14:paraId="0E798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516C8F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B0917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64FC3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99547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7905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1528.4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288DCE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56842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0.3126</w:t>
            </w:r>
          </w:p>
        </w:tc>
      </w:tr>
      <w:tr w14:paraId="65942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DE8E8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E7A9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AA1FE1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6B22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B9749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1526.5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9E9F47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0.3093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CEF8B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0.3119</w:t>
            </w:r>
          </w:p>
        </w:tc>
      </w:tr>
      <w:tr w14:paraId="11A0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DFCE4E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E0AB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966A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DBCB6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DD3F7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1653.3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049333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0.3093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FD4ED7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0.3131</w:t>
            </w:r>
          </w:p>
        </w:tc>
      </w:tr>
      <w:tr w14:paraId="46EF9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E36EB1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DB6B3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BABC3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197A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221D6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1730.2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C2057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1D97B1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0.3147</w:t>
            </w:r>
          </w:p>
        </w:tc>
      </w:tr>
      <w:tr w14:paraId="38653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616E2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3CE89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D5BFF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F12DDB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6E1B2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1793.2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7942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7205B0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0.3158</w:t>
            </w:r>
          </w:p>
        </w:tc>
      </w:tr>
      <w:tr w14:paraId="35B7A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73710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A223A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4D26DF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8E49AD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57D3B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1835.9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7A4F4F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23823F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0.3162</w:t>
            </w:r>
          </w:p>
        </w:tc>
      </w:tr>
      <w:tr w14:paraId="6D570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B30F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7275C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2C22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DB597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450A24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1863.9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98DD56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67AEE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19403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C445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CEC139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CDAED8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300C0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488E68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1872.1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8C1D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399FAF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0.3166</w:t>
            </w:r>
          </w:p>
        </w:tc>
      </w:tr>
      <w:tr w14:paraId="2061D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56233D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330C50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95A50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DCCE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064D7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1855.1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90358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911512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10DB5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3B975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9DAC33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B064E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6FEEB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852E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1813.5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4A1D6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C1839C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0597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14D74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E97C8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79D923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A9FEE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6D002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1746.6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A1B6D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08BAFFD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131D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F6738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EA107A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2A2C7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30FD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0F6ECC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1656.7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0F07E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0.2984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0206BB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77767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643D47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0C143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29A81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DBFE69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C09C4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1669.8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266837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6AE675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0142F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717C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CC96C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28BFB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ADF5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59CB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1755.8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25F18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E04B0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0.3160</w:t>
            </w:r>
          </w:p>
        </w:tc>
      </w:tr>
      <w:tr w14:paraId="40628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20078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64237B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D396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283E3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48C9B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1821.6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F563B3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2CBBF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45720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92A5E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BA7F7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C67D8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FB522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3595A5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1860.3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4E64C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ED338E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4B67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BCB1C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9BF2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1333D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7F203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0959F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1872.9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7DB88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E3737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40B7A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DC5DB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8A7D4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D8FA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299AB6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84E8F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1859.9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EC032B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7CCF0F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6032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59DE1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6807D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D8220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48FAC9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EE88D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1828.3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0A2922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04CA5C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00FA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81E58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2EB89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72AD6A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8D477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44938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1776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E01C9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B0D813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0.3160</w:t>
            </w:r>
          </w:p>
        </w:tc>
      </w:tr>
      <w:tr w14:paraId="72E0D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80739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96F7D4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83062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94065D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C55ED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1703.3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E8AAB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9E0AA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0.3148</w:t>
            </w:r>
          </w:p>
        </w:tc>
      </w:tr>
      <w:tr w14:paraId="20FA4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288FE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7EDA7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67238B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4DDF0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68FE7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1614.4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07586A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132FEC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0.3130</w:t>
            </w:r>
          </w:p>
        </w:tc>
      </w:tr>
      <w:tr w14:paraId="584D3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A787DC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1E0B0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7F25D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5DD0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C17D48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1508.1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7FAC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CD10B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0.3119</w:t>
            </w:r>
          </w:p>
        </w:tc>
      </w:tr>
      <w:tr w14:paraId="7750D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A39B2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4DAA5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4F209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28478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3FF54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1466.5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2ADD9F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14B2A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0.3117</w:t>
            </w:r>
          </w:p>
        </w:tc>
      </w:tr>
      <w:tr w14:paraId="50FD5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4E4CBD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87FE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ECC06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4901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DDA08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1580.2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68AAD0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1CC73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0.3130</w:t>
            </w:r>
          </w:p>
        </w:tc>
      </w:tr>
      <w:tr w14:paraId="136A9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B57F2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8CC4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E1660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6BD742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8C97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1679.8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9C8B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C4FAA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0.3147</w:t>
            </w:r>
          </w:p>
        </w:tc>
      </w:tr>
      <w:tr w14:paraId="389FD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E59F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95C9A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C1CED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F5182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C3047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1762.4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42F9B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4EF2E1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0.3160</w:t>
            </w:r>
          </w:p>
        </w:tc>
      </w:tr>
      <w:tr w14:paraId="2D34B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523A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E4F63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2DF8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0E86F9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16642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1823.3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04F8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BF5F4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5D102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C071A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3B0D6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CF0F3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D915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DA6C8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83B0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0.3017</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524EF4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18A63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885FC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963FED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CF668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603EC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7A74E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1874.2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1318F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8C4A32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0.3169</w:t>
            </w:r>
          </w:p>
        </w:tc>
      </w:tr>
      <w:tr w14:paraId="07733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16DC21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CF8F4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2B406A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3CD5E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49400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1860.8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8128D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004A1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4B0C2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89F0B4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91D61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6108AE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41B01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84E4D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1819.8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9DDE82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25D0D0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0.3160</w:t>
            </w:r>
          </w:p>
        </w:tc>
      </w:tr>
      <w:tr w14:paraId="1B46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842C4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5E27B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F637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6A685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230A91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1756.7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98DCA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B47407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0.3159</w:t>
            </w:r>
          </w:p>
        </w:tc>
      </w:tr>
      <w:tr w14:paraId="50854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95D79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656D7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23D15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3FA0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87AE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1667.5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18602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23DA15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0.3159</w:t>
            </w:r>
          </w:p>
        </w:tc>
      </w:tr>
      <w:tr w14:paraId="68687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4FAD3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0C43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F5AA9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995A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329BA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1654.2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009F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0.3077</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90F439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0.3155</w:t>
            </w:r>
          </w:p>
        </w:tc>
      </w:tr>
      <w:tr w14:paraId="3BA1C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25B3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A31D1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C2BA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B8579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EB89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1751.1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06868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0.3071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1924B3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0.3154</w:t>
            </w:r>
          </w:p>
        </w:tc>
      </w:tr>
      <w:tr w14:paraId="022B8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6ACB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6F102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DBAF2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FAB01A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C3E2D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1817.3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4C28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9AC39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0.3156</w:t>
            </w:r>
          </w:p>
        </w:tc>
      </w:tr>
      <w:tr w14:paraId="72F92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8FEF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195B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2102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6D9AF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7573A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5AE2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82C9F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0.3164</w:t>
            </w:r>
          </w:p>
        </w:tc>
      </w:tr>
      <w:tr w14:paraId="1DFC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427D52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14CCA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33A77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A8E41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FD72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1872.6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0D4CD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0.3017</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E201D0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0.3168</w:t>
            </w:r>
          </w:p>
        </w:tc>
      </w:tr>
      <w:tr w14:paraId="15F44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44DB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1C6FC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F7686A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EB883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8276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1854.2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916E7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64114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587B7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2FF9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EFB4D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33F61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7F83F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CB67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1816.5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9AC9D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658341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5F498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6243B4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76E88C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CD0977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A139F5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4A8E2B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1747.8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E26015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100AE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0.3159</w:t>
            </w:r>
          </w:p>
        </w:tc>
      </w:tr>
      <w:tr w14:paraId="17348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D544D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C49B7F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570EB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788E7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606D1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1653.6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E3C0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328D7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4E157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35B3E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9AC3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E42A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1CCD81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940E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1540.8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4E6F20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0.3036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F54C4F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0.3130</w:t>
            </w:r>
          </w:p>
        </w:tc>
      </w:tr>
      <w:tr w14:paraId="37A82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010F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F31F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5E6CDD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9B9739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5F76F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1410.2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0DC7AE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F9C49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0.3113</w:t>
            </w:r>
          </w:p>
        </w:tc>
      </w:tr>
      <w:tr w14:paraId="0198C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B3A6A0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BD8FF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B9F77B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7C43C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0DBEC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1360.2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913283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356C12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0.3111</w:t>
            </w:r>
          </w:p>
        </w:tc>
      </w:tr>
      <w:tr w14:paraId="03AF3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D20C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E4565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EB8F3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54E65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5E52D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1508.2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DC9E19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A26BA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0.3129</w:t>
            </w:r>
          </w:p>
        </w:tc>
      </w:tr>
      <w:tr w14:paraId="59E8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4D0E1E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9EA8F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F3CF7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DE3860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B621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1634.2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0A9D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25360D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4DFC3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DAB3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6D277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BF7B5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DE903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80AC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1738.8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ED0096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0C73A5B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0.3159</w:t>
            </w:r>
          </w:p>
        </w:tc>
      </w:tr>
      <w:tr w14:paraId="5DB9C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D290F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D5B415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5413B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56E04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6A1F90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1812.3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6F29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7D2DDD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01140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CC70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6E96B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0DB6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25501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E619C1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1852.4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FD4E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6236A7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170F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AFBDA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1E7A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6EDE1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78205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4C7A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1870.1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44C0E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8907A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63854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4D07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7C149A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73845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E2E0D4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00927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1857.3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5379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0.3043</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5D095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00E0C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AA103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0EC8D1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9403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6CBB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D57C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1808.1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89C14A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0.3068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55A7A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0.3154</w:t>
            </w:r>
          </w:p>
        </w:tc>
      </w:tr>
      <w:tr w14:paraId="23347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AFDC0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46624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FDC1D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7543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B13C1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1734.8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E7F8E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0.3088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627FD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0.3149</w:t>
            </w:r>
          </w:p>
        </w:tc>
      </w:tr>
      <w:tr w14:paraId="10427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E453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D1BF06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E90391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BAA84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75F9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1590.3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379FE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0.3105</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1B0E9D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0.3150</w:t>
            </w:r>
          </w:p>
        </w:tc>
      </w:tr>
      <w:tr w14:paraId="21E1F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9F9C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EFC88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1316B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595E3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961F5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1504.2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9E790B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0.3129</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D782DF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7FA93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B9D4B5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0CBC65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055C70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730A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449127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1719.9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C9171B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0.3106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D0A51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66F31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C689F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BF893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CD44D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52798D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F5400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1802.9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D2E64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0.3081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047630B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0.3153</w:t>
            </w:r>
          </w:p>
        </w:tc>
      </w:tr>
      <w:tr w14:paraId="5C02C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1ECC7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8557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91A7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75DAF2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0DD791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1854.6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8E6568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995AA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7A6DF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ED272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8B22E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54EA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D7634B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659DE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1868.4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E7986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17C4F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36F1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EDC39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0CF29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C217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19E8B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0E9F3E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1851.1</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19305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D9396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0.3168</w:t>
            </w:r>
          </w:p>
        </w:tc>
      </w:tr>
      <w:tr w14:paraId="34986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3FA28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DF95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9727EF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BFEAA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7CAD0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1808.4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CB38E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1A3E8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04AE7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FC89D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CF1ED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EC528F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AC854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20D58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1729.6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DB33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093D5E4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0.3158</w:t>
            </w:r>
          </w:p>
        </w:tc>
      </w:tr>
      <w:tr w14:paraId="6D8CD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B9285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B4D0E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FACA97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C72EF4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567CC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1615.2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359904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0.2998</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5B19D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7625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D4D7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A7D35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1DEC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E4C2D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7FE51B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1477.4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6F336E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067CA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0.3127</w:t>
            </w:r>
          </w:p>
        </w:tc>
      </w:tr>
      <w:tr w14:paraId="48633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A49E86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9F054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2EBE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5019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A167B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1317.8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4C59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0.2970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E22D62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0.3112</w:t>
            </w:r>
          </w:p>
        </w:tc>
      </w:tr>
      <w:tr w14:paraId="320ED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4A4A50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0CCAD8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2B17C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4DDE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67ABF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1295.2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738ED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0.2942</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38564C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0.3115</w:t>
            </w:r>
          </w:p>
        </w:tc>
      </w:tr>
      <w:tr w14:paraId="7C6BE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CBF26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C7FE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84189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6683A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FC77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1463</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CBAF0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0.2971</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7A837B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0.3127</w:t>
            </w:r>
          </w:p>
        </w:tc>
      </w:tr>
      <w:tr w14:paraId="3917C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A1DA81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7D11CB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A6885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03958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00E9B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1607.8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066A41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0.2984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26F3434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0.3146</w:t>
            </w:r>
          </w:p>
        </w:tc>
      </w:tr>
      <w:tr w14:paraId="69A74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5CDAE2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E1D2D7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198ACD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F3132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91E4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1727.2</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830A6D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0.2994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36DF395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0.3159</w:t>
            </w:r>
          </w:p>
        </w:tc>
      </w:tr>
      <w:tr w14:paraId="69A46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D5683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53CE0F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DDB4D6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DBF1D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DB6658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1807.5</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612C2E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0.3004</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86AA9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0.3165</w:t>
            </w:r>
          </w:p>
        </w:tc>
      </w:tr>
      <w:tr w14:paraId="6CC0C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3F30F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E6807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50D4BF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B454A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67CD6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1849.9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3F4B5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0.3010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3695465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0.3168</w:t>
            </w:r>
          </w:p>
        </w:tc>
      </w:tr>
      <w:tr w14:paraId="6EC4E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48BA36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6D43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32E242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2E554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A03042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1867.6</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F386DD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0.3026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28BB4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0.3167</w:t>
            </w:r>
          </w:p>
        </w:tc>
      </w:tr>
      <w:tr w14:paraId="68945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4030E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7E7CE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6C7AF5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4C18B1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25468E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1851.9</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CDADF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0.3056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15ACB64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0.3163</w:t>
            </w:r>
          </w:p>
        </w:tc>
      </w:tr>
      <w:tr w14:paraId="79770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4607A8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9B99E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102731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7187B3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1B2790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1797.4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79A46B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0.3090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463C12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0.3154</w:t>
            </w:r>
          </w:p>
        </w:tc>
      </w:tr>
      <w:tr w14:paraId="41B7A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B8E625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BFAF1D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60A24C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07255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436AD79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1706.8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343872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0.3116</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5EB705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0.3145</w:t>
            </w:r>
          </w:p>
        </w:tc>
      </w:tr>
      <w:tr w14:paraId="6E487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2D288D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00CBAE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80</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7C3551B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-266.67</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2F727D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-137.78</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51854D8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1435.4</w:t>
            </w:r>
          </w:p>
        </w:tc>
        <w:tc>
          <w:tcPr>
            <w:tcW w:w="1171" w:type="dxa"/>
            <w:tcBorders>
              <w:top w:val="single" w:color="000000" w:sz="4" w:space="0"/>
              <w:left w:val="single" w:color="000000" w:sz="4" w:space="0"/>
              <w:bottom w:val="single" w:color="000000" w:sz="4" w:space="0"/>
              <w:right w:val="single" w:color="000000" w:sz="4" w:space="0"/>
            </w:tcBorders>
            <w:shd w:val="clear"/>
            <w:noWrap/>
            <w:vAlign w:val="center"/>
          </w:tcPr>
          <w:p w14:paraId="6F512CD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0.3150</w:t>
            </w:r>
          </w:p>
        </w:tc>
        <w:tc>
          <w:tcPr>
            <w:tcW w:w="1177" w:type="dxa"/>
            <w:tcBorders>
              <w:top w:val="single" w:color="000000" w:sz="4" w:space="0"/>
              <w:left w:val="single" w:color="000000" w:sz="4" w:space="0"/>
              <w:bottom w:val="single" w:color="000000" w:sz="4" w:space="0"/>
              <w:right w:val="single" w:color="000000" w:sz="4" w:space="0"/>
            </w:tcBorders>
            <w:shd w:val="clear"/>
            <w:noWrap/>
            <w:vAlign w:val="center"/>
          </w:tcPr>
          <w:p w14:paraId="654EF2B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0.3143</w:t>
            </w:r>
          </w:p>
        </w:tc>
      </w:tr>
    </w:tbl>
    <w:p w14:paraId="5F4ECD01">
      <w:pPr>
        <w:ind w:firstLine="420" w:firstLineChars="200"/>
        <w:rPr>
          <w:rFonts w:hint="default"/>
          <w:lang w:val="en-US" w:eastAsia="zh-CN"/>
        </w:rPr>
      </w:pPr>
      <w:r>
        <w:rPr>
          <w:rFonts w:hint="eastAsia"/>
          <w:lang w:val="en-US" w:eastAsia="zh-CN"/>
        </w:rPr>
        <w:t>该表格文件共15147行，其余省略</w:t>
      </w:r>
    </w:p>
    <w:p w14:paraId="217295D4">
      <w:pPr>
        <w:rPr>
          <w:rFonts w:hint="default"/>
          <w:sz w:val="24"/>
          <w:szCs w:val="24"/>
          <w:lang w:val="en-US" w:eastAsia="zh-CN"/>
        </w:rPr>
      </w:pPr>
    </w:p>
    <w:p w14:paraId="7012D54D">
      <w:pPr>
        <w:rPr>
          <w:rFonts w:hint="default"/>
          <w:sz w:val="24"/>
          <w:szCs w:val="24"/>
          <w:lang w:val="en-US" w:eastAsia="zh-CN"/>
        </w:rPr>
      </w:pPr>
      <w:r>
        <w:rPr>
          <w:rFonts w:hint="eastAsia"/>
          <w:sz w:val="24"/>
          <w:szCs w:val="24"/>
          <w:lang w:val="en-US" w:eastAsia="zh-CN"/>
        </w:rPr>
        <w:t>7.3 Mini LED背显屏校准条件说明</w:t>
      </w:r>
    </w:p>
    <w:p w14:paraId="0D402DAC">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首先实验移动被测样品的垂直轴和水平轴，使得被测显示屏的中心位置和测量装置的测量工作轴重合。</w:t>
      </w:r>
    </w:p>
    <w:p w14:paraId="71591967">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实验测出显示屏支架移动轴位置θH（水平移动轴）=28.50mm，θV（垂直移动轴）=-22.3mm时，显示屏中心和测量装置的测量工作轴重合。</w:t>
      </w:r>
    </w:p>
    <w:p w14:paraId="1B0C1B65">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在程序中输入显示屏的大小尺寸，即水平宽度</w:t>
      </w:r>
      <w:r>
        <w:rPr>
          <w:rFonts w:hint="eastAsia" w:ascii="Times New Roman" w:hAnsi="Times New Roman" w:cs="Times New Roman"/>
          <w:sz w:val="24"/>
          <w:szCs w:val="24"/>
          <w:lang w:val="en-US" w:eastAsia="zh-CN"/>
        </w:rPr>
        <w:t>569</w:t>
      </w:r>
      <w:r>
        <w:rPr>
          <w:rFonts w:hint="default" w:ascii="Times New Roman" w:hAnsi="Times New Roman" w:eastAsia="宋体" w:cs="Times New Roman"/>
          <w:sz w:val="24"/>
          <w:szCs w:val="24"/>
        </w:rPr>
        <w:t xml:space="preserve"> mm，垂直高度3</w:t>
      </w: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rPr>
        <w:t xml:space="preserve">0 mm，选择分区方案9 × 9（即水平和垂直方向各分成9块，共计81个区域，测量每个区域的中心点附件的亮度和颜色）；设定天空角度的测量范围是（-50°~ 50°），采样间隔是10°；设定大地角度的测量范围是（0°~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160°），采样间隔是10°。</w:t>
      </w:r>
    </w:p>
    <w:p w14:paraId="78412783">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程序</w:t>
      </w:r>
      <w:r>
        <w:rPr>
          <w:rFonts w:hint="default" w:ascii="Times New Roman" w:hAnsi="Times New Roman" w:eastAsia="宋体" w:cs="Times New Roman"/>
          <w:sz w:val="24"/>
          <w:szCs w:val="24"/>
          <w:lang w:val="en-US" w:eastAsia="zh-CN"/>
        </w:rPr>
        <w:t>产生</w:t>
      </w:r>
      <w:r>
        <w:rPr>
          <w:rFonts w:hint="default" w:ascii="Times New Roman" w:hAnsi="Times New Roman" w:eastAsia="宋体" w:cs="Times New Roman"/>
          <w:sz w:val="24"/>
          <w:szCs w:val="24"/>
        </w:rPr>
        <w:t>测量序列15147个。</w:t>
      </w:r>
    </w:p>
    <w:p w14:paraId="43069A66">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设定光谱辐射亮度计的测量视场角为1°，测量距离是1500</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mm，在垂直方向上对应显示屏采样区域的直径约26</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mm，面积约530</w:t>
      </w:r>
      <w:r>
        <w:rPr>
          <w:rFonts w:hint="eastAsia" w:cs="Times New Roman"/>
          <w:sz w:val="24"/>
          <w:szCs w:val="24"/>
          <w:lang w:val="en-US" w:eastAsia="zh-CN"/>
        </w:rPr>
        <w:t xml:space="preserve"> </w:t>
      </w:r>
      <w:r>
        <w:rPr>
          <w:rFonts w:hint="default" w:ascii="Times New Roman" w:hAnsi="Times New Roman" w:eastAsia="宋体" w:cs="Times New Roman"/>
          <w:sz w:val="24"/>
          <w:szCs w:val="24"/>
        </w:rPr>
        <w:t>mm</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4"/>
          <w:szCs w:val="24"/>
        </w:rPr>
        <w:t>。</w:t>
      </w:r>
    </w:p>
    <w:p w14:paraId="454599E3">
      <w:p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使用计量院设计的信号发生器产生白场信号，显示屏预热30 min后，开始测量。测量结果保存</w:t>
      </w:r>
      <w:r>
        <w:rPr>
          <w:rFonts w:hint="default" w:ascii="Times New Roman" w:hAnsi="Times New Roman" w:eastAsia="宋体" w:cs="Times New Roman"/>
          <w:sz w:val="24"/>
          <w:szCs w:val="24"/>
          <w:lang w:val="en-US" w:eastAsia="zh-CN"/>
        </w:rPr>
        <w:t>E</w:t>
      </w:r>
      <w:r>
        <w:rPr>
          <w:rFonts w:hint="default" w:ascii="Times New Roman" w:hAnsi="Times New Roman" w:eastAsia="宋体" w:cs="Times New Roman"/>
          <w:sz w:val="24"/>
          <w:szCs w:val="24"/>
        </w:rPr>
        <w:t>xcel文件。</w:t>
      </w:r>
    </w:p>
    <w:p w14:paraId="33A1BDCE">
      <w:pPr>
        <w:rPr>
          <w:rFonts w:hint="eastAsia"/>
          <w:sz w:val="24"/>
          <w:szCs w:val="24"/>
          <w:lang w:val="en-US" w:eastAsia="zh-CN"/>
        </w:rPr>
      </w:pPr>
    </w:p>
    <w:p w14:paraId="43BEBD9F">
      <w:pPr>
        <w:rPr>
          <w:rFonts w:hint="eastAsia"/>
          <w:sz w:val="24"/>
          <w:szCs w:val="24"/>
          <w:lang w:val="en-US" w:eastAsia="zh-CN"/>
        </w:rPr>
      </w:pPr>
      <w:r>
        <w:rPr>
          <w:rFonts w:hint="eastAsia"/>
          <w:sz w:val="24"/>
          <w:szCs w:val="24"/>
          <w:lang w:val="en-US" w:eastAsia="zh-CN"/>
        </w:rPr>
        <w:t>7.4 Mini LED背显屏校准结果</w:t>
      </w:r>
    </w:p>
    <w:p w14:paraId="71419282">
      <w:pPr>
        <w:ind w:firstLine="480" w:firstLineChars="200"/>
        <w:rPr>
          <w:rFonts w:hint="eastAsia"/>
          <w:sz w:val="24"/>
          <w:szCs w:val="24"/>
          <w:lang w:val="en-US" w:eastAsia="zh-CN"/>
        </w:rPr>
      </w:pPr>
      <w:r>
        <w:rPr>
          <w:rFonts w:hint="eastAsia"/>
          <w:sz w:val="24"/>
          <w:szCs w:val="24"/>
          <w:lang w:val="en-US" w:eastAsia="zh-CN"/>
        </w:rPr>
        <w:t>依据规范对待测屏进行空间光色特性进行校准，其校准结果见以下表格。因为篇幅限制，本报告只显示前100行数据（文件共有</w:t>
      </w:r>
      <w:r>
        <w:rPr>
          <w:rFonts w:hint="eastAsia"/>
          <w:lang w:val="en-US" w:eastAsia="zh-CN"/>
        </w:rPr>
        <w:t>15147行</w:t>
      </w:r>
      <w:r>
        <w:rPr>
          <w:rFonts w:hint="eastAsia"/>
          <w:sz w:val="24"/>
          <w:szCs w:val="24"/>
          <w:lang w:val="en-US" w:eastAsia="zh-CN"/>
        </w:rPr>
        <w:t>），其余数据见excel电子文件。</w:t>
      </w:r>
    </w:p>
    <w:p w14:paraId="0E1D3CAD">
      <w:pPr>
        <w:ind w:firstLine="480" w:firstLineChars="200"/>
        <w:rPr>
          <w:rFonts w:hint="eastAsia"/>
          <w:sz w:val="24"/>
          <w:szCs w:val="24"/>
          <w:lang w:val="en-US" w:eastAsia="zh-CN"/>
        </w:rPr>
      </w:pPr>
    </w:p>
    <w:p w14:paraId="77F0F186">
      <w:pPr>
        <w:ind w:firstLine="480" w:firstLineChars="200"/>
        <w:rPr>
          <w:rFonts w:hint="eastAsia"/>
          <w:sz w:val="24"/>
          <w:szCs w:val="24"/>
          <w:lang w:val="en-US" w:eastAsia="zh-CN"/>
        </w:rPr>
      </w:pPr>
      <w:r>
        <w:rPr>
          <w:rFonts w:hint="eastAsia"/>
          <w:sz w:val="24"/>
          <w:szCs w:val="24"/>
          <w:lang w:val="en-US" w:eastAsia="zh-CN"/>
        </w:rPr>
        <w:t>表2. Mini LED背显屏校准结果</w:t>
      </w:r>
    </w:p>
    <w:tbl>
      <w:tblPr>
        <w:tblStyle w:val="4"/>
        <w:tblW w:w="82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7"/>
        <w:gridCol w:w="1097"/>
        <w:gridCol w:w="1098"/>
        <w:gridCol w:w="1100"/>
        <w:gridCol w:w="1295"/>
        <w:gridCol w:w="1297"/>
        <w:gridCol w:w="1297"/>
      </w:tblGrid>
      <w:tr w14:paraId="219A5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288"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5AD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Θ1</w:t>
            </w:r>
          </w:p>
          <w:p w14:paraId="2CC0C92D">
            <w:pPr>
              <w:keepNext w:val="0"/>
              <w:keepLines w:val="0"/>
              <w:widowControl/>
              <w:suppressLineNumbers w:val="0"/>
              <w:spacing w:line="240" w:lineRule="auto"/>
              <w:jc w:val="center"/>
              <w:textAlignment w:val="center"/>
              <w:rPr>
                <w:rFonts w:hint="eastAsia"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天空</w:t>
            </w:r>
            <w:r>
              <w:rPr>
                <w:rFonts w:hint="eastAsia" w:cs="Times New Roman"/>
                <w:i w:val="0"/>
                <w:iCs w:val="0"/>
                <w:color w:val="000000"/>
                <w:kern w:val="0"/>
                <w:sz w:val="21"/>
                <w:szCs w:val="21"/>
                <w:u w:val="none"/>
                <w:lang w:val="en-US" w:eastAsia="zh-CN" w:bidi="ar"/>
              </w:rPr>
              <w:t>角</w:t>
            </w:r>
          </w:p>
          <w:p w14:paraId="23F3A4A0">
            <w:pPr>
              <w:keepNext w:val="0"/>
              <w:keepLines w:val="0"/>
              <w:widowControl/>
              <w:suppressLineNumbers w:val="0"/>
              <w:spacing w:line="240" w:lineRule="auto"/>
              <w:jc w:val="center"/>
              <w:textAlignment w:val="center"/>
              <w:rPr>
                <w:rFonts w:hint="default"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w:t>
            </w:r>
            <w:r>
              <w:rPr>
                <w:rFonts w:hint="eastAsia" w:ascii="微软雅黑" w:hAnsi="微软雅黑" w:eastAsia="微软雅黑" w:cs="微软雅黑"/>
                <w:i w:val="0"/>
                <w:iCs w:val="0"/>
                <w:color w:val="000000"/>
                <w:kern w:val="0"/>
                <w:sz w:val="21"/>
                <w:szCs w:val="21"/>
                <w:u w:val="none"/>
                <w:lang w:val="en-US" w:eastAsia="zh-CN" w:bidi="ar"/>
              </w:rPr>
              <w:t>°</w:t>
            </w:r>
            <w:r>
              <w:rPr>
                <w:rFonts w:hint="eastAsia" w:cs="Times New Roman"/>
                <w:i w:val="0"/>
                <w:iCs w:val="0"/>
                <w:color w:val="000000"/>
                <w:kern w:val="0"/>
                <w:sz w:val="21"/>
                <w:szCs w:val="21"/>
                <w:u w:val="none"/>
                <w:lang w:val="en-US" w:eastAsia="zh-CN" w:bidi="ar"/>
              </w:rPr>
              <w:t>）</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14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Θ2</w:t>
            </w:r>
          </w:p>
          <w:p w14:paraId="58FB17A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自转</w:t>
            </w:r>
          </w:p>
          <w:p w14:paraId="1B9BB8E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w:t>
            </w:r>
            <w:r>
              <w:rPr>
                <w:rFonts w:hint="eastAsia" w:ascii="微软雅黑" w:hAnsi="微软雅黑" w:eastAsia="微软雅黑" w:cs="微软雅黑"/>
                <w:i w:val="0"/>
                <w:iCs w:val="0"/>
                <w:color w:val="000000"/>
                <w:kern w:val="0"/>
                <w:sz w:val="21"/>
                <w:szCs w:val="21"/>
                <w:u w:val="none"/>
                <w:lang w:val="en-US" w:eastAsia="zh-CN" w:bidi="ar"/>
              </w:rPr>
              <w:t>°</w:t>
            </w:r>
            <w:r>
              <w:rPr>
                <w:rFonts w:hint="eastAsia" w:cs="Times New Roman"/>
                <w:i w:val="0"/>
                <w:iCs w:val="0"/>
                <w:color w:val="000000"/>
                <w:kern w:val="0"/>
                <w:sz w:val="21"/>
                <w:szCs w:val="21"/>
                <w:u w:val="none"/>
                <w:lang w:val="en-US" w:eastAsia="zh-CN" w:bidi="ar"/>
              </w:rPr>
              <w:t>）</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5291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H值</w:t>
            </w:r>
          </w:p>
          <w:p w14:paraId="4D7AADF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lang w:val="en-US"/>
              </w:rPr>
            </w:pPr>
            <w:r>
              <w:rPr>
                <w:rFonts w:hint="eastAsia" w:cs="Times New Roman"/>
                <w:i w:val="0"/>
                <w:iCs w:val="0"/>
                <w:color w:val="000000"/>
                <w:kern w:val="0"/>
                <w:sz w:val="21"/>
                <w:szCs w:val="21"/>
                <w:u w:val="none"/>
                <w:lang w:val="en-US" w:eastAsia="zh-CN" w:bidi="ar"/>
              </w:rPr>
              <w:t>(mm)</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07F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V值</w:t>
            </w:r>
          </w:p>
          <w:p w14:paraId="0AA650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(mm)</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0711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亮度</w:t>
            </w:r>
            <w:r>
              <w:rPr>
                <w:rFonts w:hint="default" w:ascii="Times New Roman" w:hAnsi="Times New Roman" w:eastAsia="宋体" w:cs="Times New Roman"/>
                <w:i w:val="0"/>
                <w:iCs w:val="0"/>
                <w:color w:val="000000"/>
                <w:kern w:val="0"/>
                <w:sz w:val="21"/>
                <w:szCs w:val="21"/>
                <w:u w:val="none"/>
                <w:lang w:val="en-US" w:eastAsia="zh-CN" w:bidi="ar"/>
              </w:rPr>
              <w:t>L</w:t>
            </w:r>
          </w:p>
          <w:p w14:paraId="53DC9F6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(cd/m²)</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1C0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CIE</w:t>
            </w:r>
          </w:p>
          <w:p w14:paraId="086767C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x</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166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CIE</w:t>
            </w:r>
          </w:p>
          <w:p w14:paraId="62A4F1F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y</w:t>
            </w:r>
          </w:p>
        </w:tc>
      </w:tr>
      <w:tr w14:paraId="6392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6CC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92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17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25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4F4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73.798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AEE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A86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0.3245</w:t>
            </w:r>
          </w:p>
        </w:tc>
      </w:tr>
      <w:tr w14:paraId="6D9C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5A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13C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CB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0B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3F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9F3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571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0.3202</w:t>
            </w:r>
          </w:p>
        </w:tc>
      </w:tr>
      <w:tr w14:paraId="75E5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42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FD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D5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7F6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99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175.72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80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26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0.3165</w:t>
            </w:r>
          </w:p>
        </w:tc>
      </w:tr>
      <w:tr w14:paraId="129B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5A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22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35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01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CA3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269.73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99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2D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0.3141</w:t>
            </w:r>
          </w:p>
        </w:tc>
      </w:tr>
      <w:tr w14:paraId="7DC78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4A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8F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E4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3B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2D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349.18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18E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22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0.3092</w:t>
            </w:r>
          </w:p>
        </w:tc>
      </w:tr>
      <w:tr w14:paraId="205C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E7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1A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BC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06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86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373.41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177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57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0.3070</w:t>
            </w:r>
          </w:p>
        </w:tc>
      </w:tr>
      <w:tr w14:paraId="355B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C0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B3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E83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B6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E6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346.72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8E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5B8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0.3087</w:t>
            </w:r>
          </w:p>
        </w:tc>
      </w:tr>
      <w:tr w14:paraId="373CE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48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BE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B65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75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856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266.02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0F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08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0.3129</w:t>
            </w:r>
          </w:p>
        </w:tc>
      </w:tr>
      <w:tr w14:paraId="21E23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3AC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E7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D1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0E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880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174.25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40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93D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0.3153</w:t>
            </w:r>
          </w:p>
        </w:tc>
      </w:tr>
      <w:tr w14:paraId="3A3E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1D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81A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2E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9B0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F1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110.94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17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01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0.3190</w:t>
            </w:r>
          </w:p>
        </w:tc>
      </w:tr>
      <w:tr w14:paraId="354F2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6C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DC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0E0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E4B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3A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74.956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B6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78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0.3230</w:t>
            </w:r>
          </w:p>
        </w:tc>
      </w:tr>
      <w:tr w14:paraId="3802C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082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7A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79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FC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3A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76.626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84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C7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0.3231</w:t>
            </w:r>
          </w:p>
        </w:tc>
      </w:tr>
      <w:tr w14:paraId="612CC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F6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69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E4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15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EB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109.15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FF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9D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0.3182</w:t>
            </w:r>
          </w:p>
        </w:tc>
      </w:tr>
      <w:tr w14:paraId="3106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EB1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B71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93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44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AA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170.32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75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6C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0.3145</w:t>
            </w:r>
          </w:p>
        </w:tc>
      </w:tr>
      <w:tr w14:paraId="70147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7B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E4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A7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CD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A7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262.99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26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57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0.3126</w:t>
            </w:r>
          </w:p>
        </w:tc>
      </w:tr>
      <w:tr w14:paraId="03168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74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53C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009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031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9A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344.81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090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4E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0.3087</w:t>
            </w:r>
          </w:p>
        </w:tc>
      </w:tr>
      <w:tr w14:paraId="0D5FC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6F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85D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6E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A9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72A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371.66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23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F9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0.3069</w:t>
            </w:r>
          </w:p>
        </w:tc>
      </w:tr>
      <w:tr w14:paraId="089A8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D9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588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063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6B9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75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346.64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0FC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1B3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0.3092</w:t>
            </w:r>
          </w:p>
        </w:tc>
      </w:tr>
      <w:tr w14:paraId="28B0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E80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C6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4B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71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CF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265.57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3A4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5DD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0.3139</w:t>
            </w:r>
          </w:p>
        </w:tc>
      </w:tr>
      <w:tr w14:paraId="27EBE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9C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84F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06F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639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13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170.45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3A9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F5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0.3160</w:t>
            </w:r>
          </w:p>
        </w:tc>
      </w:tr>
      <w:tr w14:paraId="054AF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A6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7C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F0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3B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B3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107.49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EE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693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0.3195</w:t>
            </w:r>
          </w:p>
        </w:tc>
      </w:tr>
      <w:tr w14:paraId="55C21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88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193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9F2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C4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AD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75.68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6E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135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0.3242</w:t>
            </w:r>
          </w:p>
        </w:tc>
      </w:tr>
      <w:tr w14:paraId="6290D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76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057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C8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21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8C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80.19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01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7F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0.3236</w:t>
            </w:r>
          </w:p>
        </w:tc>
      </w:tr>
      <w:tr w14:paraId="163B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ED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0C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06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D65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206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107.24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BF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73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0.3187</w:t>
            </w:r>
          </w:p>
        </w:tc>
      </w:tr>
      <w:tr w14:paraId="26D88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12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EF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F1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3DA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26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165.17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338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20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0.3155</w:t>
            </w:r>
          </w:p>
        </w:tc>
      </w:tr>
      <w:tr w14:paraId="720BD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37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89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3D1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40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8EC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8E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99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0.3140</w:t>
            </w:r>
          </w:p>
        </w:tc>
      </w:tr>
      <w:tr w14:paraId="3D086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B69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B9F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9E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76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D3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343.89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3E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BFE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0.3092</w:t>
            </w:r>
          </w:p>
        </w:tc>
      </w:tr>
      <w:tr w14:paraId="4555F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E4F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D0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C0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B0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DF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369.9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17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83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0.3070</w:t>
            </w:r>
          </w:p>
        </w:tc>
      </w:tr>
      <w:tr w14:paraId="25A15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0CE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5B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8B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A3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BC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342.89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47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B6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0.3089</w:t>
            </w:r>
          </w:p>
        </w:tc>
      </w:tr>
      <w:tr w14:paraId="3BB25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F2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B09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395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E6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745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260.29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0A3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DF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0.3126</w:t>
            </w:r>
          </w:p>
        </w:tc>
      </w:tr>
      <w:tr w14:paraId="56B14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B3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E8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1B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06A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75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166.33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77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0.3059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1F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0.3140</w:t>
            </w:r>
          </w:p>
        </w:tc>
      </w:tr>
      <w:tr w14:paraId="5451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83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7F0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63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F1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EA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109.05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18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DC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0.3175</w:t>
            </w:r>
          </w:p>
        </w:tc>
      </w:tr>
      <w:tr w14:paraId="37871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6E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DB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E7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F3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6C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80.629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D3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46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0.3226</w:t>
            </w:r>
          </w:p>
        </w:tc>
      </w:tr>
      <w:tr w14:paraId="38B4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2E5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8C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FF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0B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74F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78.366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805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0.3188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330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0.3206</w:t>
            </w:r>
          </w:p>
        </w:tc>
      </w:tr>
      <w:tr w14:paraId="3A7C7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A1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24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70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A4B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DF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109.45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78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B0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0.3161</w:t>
            </w:r>
          </w:p>
        </w:tc>
      </w:tr>
      <w:tr w14:paraId="623AB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95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9C8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F0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39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E1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162.77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67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0.3049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891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0.3131</w:t>
            </w:r>
          </w:p>
        </w:tc>
      </w:tr>
      <w:tr w14:paraId="5C84A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B2C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05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EA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7C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15E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257.91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B84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BF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0.3125</w:t>
            </w:r>
          </w:p>
        </w:tc>
      </w:tr>
      <w:tr w14:paraId="4F7C7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6B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A1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1F2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23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15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340.94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6C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65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0.3087</w:t>
            </w:r>
          </w:p>
        </w:tc>
      </w:tr>
      <w:tr w14:paraId="16814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630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7D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4B0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CD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157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367.94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F9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F9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0.3071</w:t>
            </w:r>
          </w:p>
        </w:tc>
      </w:tr>
      <w:tr w14:paraId="12448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2E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03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60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94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51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341.08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66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1B3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0.3092</w:t>
            </w:r>
          </w:p>
        </w:tc>
      </w:tr>
      <w:tr w14:paraId="6AC82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BC9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D2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A7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42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57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256.25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8E9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70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0.3139</w:t>
            </w:r>
          </w:p>
        </w:tc>
      </w:tr>
      <w:tr w14:paraId="608EF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51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C8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0D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AA0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FE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159.66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32F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0.3053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5B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0.3144</w:t>
            </w:r>
          </w:p>
        </w:tc>
      </w:tr>
      <w:tr w14:paraId="3E46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1F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C3E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E02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98B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6D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107.93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78E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8CF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0.3171</w:t>
            </w:r>
          </w:p>
        </w:tc>
      </w:tr>
      <w:tr w14:paraId="3E2FC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5F7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70C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73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C2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DBB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85.523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9F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0.3197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8F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0.3219</w:t>
            </w:r>
          </w:p>
        </w:tc>
      </w:tr>
      <w:tr w14:paraId="381AB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05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89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6F7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76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F1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88.928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00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0.3177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4C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0.3190</w:t>
            </w:r>
          </w:p>
        </w:tc>
      </w:tr>
      <w:tr w14:paraId="0A879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B8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03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14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D24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05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108.35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07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0.3102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69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0.3151</w:t>
            </w:r>
          </w:p>
        </w:tc>
      </w:tr>
      <w:tr w14:paraId="6F480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47E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C1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1B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E6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BE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156.15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E2A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0.3042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61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0.3132</w:t>
            </w:r>
          </w:p>
        </w:tc>
      </w:tr>
      <w:tr w14:paraId="19A5B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3A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DF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E7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02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B1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252.17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C98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94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0.3136</w:t>
            </w:r>
          </w:p>
        </w:tc>
      </w:tr>
      <w:tr w14:paraId="38915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79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1D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A0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3A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8F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338.07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26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926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0.3091</w:t>
            </w:r>
          </w:p>
        </w:tc>
      </w:tr>
      <w:tr w14:paraId="5F4E5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16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AB0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A64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42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DC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366.04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C66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01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0.3072</w:t>
            </w:r>
          </w:p>
        </w:tc>
      </w:tr>
      <w:tr w14:paraId="75710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3D6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67C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9B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38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7A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339.63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6A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26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0.3087</w:t>
            </w:r>
          </w:p>
        </w:tc>
      </w:tr>
      <w:tr w14:paraId="2D65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95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8D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84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B38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8D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256.54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28B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0.3017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866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0.3124</w:t>
            </w:r>
          </w:p>
        </w:tc>
      </w:tr>
      <w:tr w14:paraId="60DFE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AB6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D4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28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13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90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162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9A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0.3116</w:t>
            </w:r>
          </w:p>
        </w:tc>
      </w:tr>
      <w:tr w14:paraId="57AE6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BA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ED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03D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C4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78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101.15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275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0F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0.3134</w:t>
            </w:r>
          </w:p>
        </w:tc>
      </w:tr>
      <w:tr w14:paraId="53FD5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1C8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446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95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AD9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C0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54.779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C6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0.3160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83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0.3170</w:t>
            </w:r>
          </w:p>
        </w:tc>
      </w:tr>
      <w:tr w14:paraId="5AA75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DF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BA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EF9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E8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0C0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29.387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FE3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44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0.3121</w:t>
            </w:r>
          </w:p>
        </w:tc>
      </w:tr>
      <w:tr w14:paraId="4B642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19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225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C9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6C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5F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79.481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8A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E7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0.3099</w:t>
            </w:r>
          </w:p>
        </w:tc>
      </w:tr>
      <w:tr w14:paraId="47642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363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FA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59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80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1C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150.73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CF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0.3014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C28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0.3097</w:t>
            </w:r>
          </w:p>
        </w:tc>
      </w:tr>
      <w:tr w14:paraId="3239B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6C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B16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C9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8D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52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254.12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69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DC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0.3118</w:t>
            </w:r>
          </w:p>
        </w:tc>
      </w:tr>
      <w:tr w14:paraId="2EE29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1E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B9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18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CC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2A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337.74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EC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97E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0.3088</w:t>
            </w:r>
          </w:p>
        </w:tc>
      </w:tr>
      <w:tr w14:paraId="7298E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9A3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998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4AF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98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9B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364.11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DEA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35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0.3074</w:t>
            </w:r>
          </w:p>
        </w:tc>
      </w:tr>
      <w:tr w14:paraId="013C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349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4E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779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E7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3D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335.63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7B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9D8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0.3091</w:t>
            </w:r>
          </w:p>
        </w:tc>
      </w:tr>
      <w:tr w14:paraId="2CD74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9DB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24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A30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C8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50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248.66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B67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BA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0.3130</w:t>
            </w:r>
          </w:p>
        </w:tc>
      </w:tr>
      <w:tr w14:paraId="50668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7E7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960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48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DE0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7C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153.41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5F4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B91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0.3118</w:t>
            </w:r>
          </w:p>
        </w:tc>
      </w:tr>
      <w:tr w14:paraId="0AE1A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6E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77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63C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7C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63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106.91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4E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B2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0.3126</w:t>
            </w:r>
          </w:p>
        </w:tc>
      </w:tr>
      <w:tr w14:paraId="5386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F5A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19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E1A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CDB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15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88.218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04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0.3139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C7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0.3144</w:t>
            </w:r>
          </w:p>
        </w:tc>
      </w:tr>
      <w:tr w14:paraId="75D74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03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A8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C7D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07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668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83.414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87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785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0.3090</w:t>
            </w:r>
          </w:p>
        </w:tc>
      </w:tr>
      <w:tr w14:paraId="422E0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98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A79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351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29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5E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103.94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78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0.3053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B1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0.3096</w:t>
            </w:r>
          </w:p>
        </w:tc>
      </w:tr>
      <w:tr w14:paraId="3640A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04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34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8E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72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22B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152.51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80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0.3016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25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0.3103</w:t>
            </w:r>
          </w:p>
        </w:tc>
      </w:tr>
      <w:tr w14:paraId="175C8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F59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B2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3A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40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40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247.37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2C0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0.3013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063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0.3126</w:t>
            </w:r>
          </w:p>
        </w:tc>
      </w:tr>
      <w:tr w14:paraId="3E159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07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6D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49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DFE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F4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333.44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CD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570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0.3092</w:t>
            </w:r>
          </w:p>
        </w:tc>
      </w:tr>
      <w:tr w14:paraId="40F17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FE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53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7FF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C0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E6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362.35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4E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1D8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0.3076</w:t>
            </w:r>
          </w:p>
        </w:tc>
      </w:tr>
      <w:tr w14:paraId="3847E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D8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EB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89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5B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4E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335.86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538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203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0.3086</w:t>
            </w:r>
          </w:p>
        </w:tc>
      </w:tr>
      <w:tr w14:paraId="21C17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7A4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05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B5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38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0A9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248.08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4E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E7C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0.3110</w:t>
            </w:r>
          </w:p>
        </w:tc>
      </w:tr>
      <w:tr w14:paraId="6CADB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B9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30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44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4C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20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135.32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F37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0F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0.3079</w:t>
            </w:r>
          </w:p>
        </w:tc>
      </w:tr>
      <w:tr w14:paraId="498B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68A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4F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F26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CC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D3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56.784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2B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E1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0.3064</w:t>
            </w:r>
          </w:p>
        </w:tc>
      </w:tr>
      <w:tr w14:paraId="27E9E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22D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0F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E81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72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EE7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14.036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97F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6EA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0.3066</w:t>
            </w:r>
          </w:p>
        </w:tc>
      </w:tr>
      <w:tr w14:paraId="34A17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944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9D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BA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82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8C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6.8732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4D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E6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0.3021</w:t>
            </w:r>
          </w:p>
        </w:tc>
      </w:tr>
      <w:tr w14:paraId="32EEE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AE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59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9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C63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23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40.74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570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825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0.3039</w:t>
            </w:r>
          </w:p>
        </w:tc>
      </w:tr>
      <w:tr w14:paraId="3A281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59A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E7D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814C">
            <w:pPr>
              <w:adjustRightInd w:val="0"/>
              <w:snapToGrid w:val="0"/>
              <w:jc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r>
              <w:rPr>
                <w:rFonts w:hint="default" w:ascii="Times New Roman" w:hAnsi="Times New Roman" w:cs="Times New Roman"/>
                <w:i w:val="0"/>
                <w:kern w:val="2"/>
                <w:sz w:val="20"/>
                <w:szCs w:val="20"/>
                <w:lang w:val="en-US" w:eastAsia="zh-CN" w:bidi="ar-SA"/>
              </w:rPr>
              <w:t>252</w:t>
            </w:r>
            <w:r>
              <w:rPr>
                <w:rFonts w:hint="default" w:ascii="Times New Roman" w:hAnsi="Times New Roman" w:eastAsia="宋体" w:cs="Times New Roman"/>
                <w:i w:val="0"/>
                <w:iCs w:val="0"/>
                <w:color w:val="000000"/>
                <w:kern w:val="0"/>
                <w:sz w:val="20"/>
                <w:szCs w:val="20"/>
                <w:u w:val="none"/>
                <w:lang w:val="en-US" w:eastAsia="zh-CN" w:bidi="ar"/>
              </w:rPr>
              <w:t>.89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E7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8B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119.63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BC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E2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0.3069</w:t>
            </w:r>
          </w:p>
        </w:tc>
      </w:tr>
      <w:tr w14:paraId="3ED0A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65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F5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CA7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96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0A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238.23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20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CCC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0.3103</w:t>
            </w:r>
          </w:p>
        </w:tc>
      </w:tr>
      <w:tr w14:paraId="5F149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F67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388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A8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DB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EA4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332.21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AA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0.2989</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BB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0.3086</w:t>
            </w:r>
          </w:p>
        </w:tc>
      </w:tr>
      <w:tr w14:paraId="75647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8B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0F0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17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49F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C6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359.96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BF8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4C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0.3077</w:t>
            </w:r>
          </w:p>
        </w:tc>
      </w:tr>
      <w:tr w14:paraId="32127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97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15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F4F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347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39A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331.71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A7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456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0.3091</w:t>
            </w:r>
          </w:p>
        </w:tc>
      </w:tr>
      <w:tr w14:paraId="0311F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77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C4C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1A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65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CE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246.48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FB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FF0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0.3118</w:t>
            </w:r>
          </w:p>
        </w:tc>
      </w:tr>
      <w:tr w14:paraId="52164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6A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41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918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1D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5C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153.04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B3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BC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0.3093</w:t>
            </w:r>
          </w:p>
        </w:tc>
      </w:tr>
      <w:tr w14:paraId="7E45B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B9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BF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87C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58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170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100.42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AAD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0.3030</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D0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0.3068</w:t>
            </w:r>
          </w:p>
        </w:tc>
      </w:tr>
      <w:tr w14:paraId="692F2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E4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048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05B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A7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AC5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76.834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D2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0.3055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3E8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0.3034</w:t>
            </w:r>
          </w:p>
        </w:tc>
      </w:tr>
      <w:tr w14:paraId="78260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F0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E2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8BF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FEC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C99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71.023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AD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216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0.2992</w:t>
            </w:r>
          </w:p>
        </w:tc>
      </w:tr>
      <w:tr w14:paraId="55BCB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9A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3C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E93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59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DA0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98.185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51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0.3017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F89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0.3050</w:t>
            </w:r>
          </w:p>
        </w:tc>
      </w:tr>
      <w:tr w14:paraId="21FDB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FC5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71C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256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03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554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154.68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394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E4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0.3085</w:t>
            </w:r>
          </w:p>
        </w:tc>
      </w:tr>
      <w:tr w14:paraId="0697A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A1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4E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7BA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D67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BD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246.87</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B98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620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0.3115</w:t>
            </w:r>
          </w:p>
        </w:tc>
      </w:tr>
      <w:tr w14:paraId="5A6FB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D6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ED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24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5BC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38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330.6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94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E6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0.3090</w:t>
            </w:r>
          </w:p>
        </w:tc>
      </w:tr>
      <w:tr w14:paraId="5131A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B8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68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1A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EA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1F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357.72</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85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D2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0.3078</w:t>
            </w:r>
          </w:p>
        </w:tc>
      </w:tr>
      <w:tr w14:paraId="69167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33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E6E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546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11E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B4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327.53</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BA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2D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0.3085</w:t>
            </w:r>
          </w:p>
        </w:tc>
      </w:tr>
      <w:tr w14:paraId="50837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482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44A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87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D99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24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228.98</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EA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087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0.3100</w:t>
            </w:r>
          </w:p>
        </w:tc>
      </w:tr>
      <w:tr w14:paraId="23DBD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43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9C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8FD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0A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208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108.16</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83B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0.2981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A3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0.3062</w:t>
            </w:r>
          </w:p>
        </w:tc>
      </w:tr>
      <w:tr w14:paraId="5F15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29F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747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EF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6E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FC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31.655</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6B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0.2994</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16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0.3025</w:t>
            </w:r>
          </w:p>
        </w:tc>
      </w:tr>
      <w:tr w14:paraId="4E274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12" w:hRule="atLeast"/>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D8E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0F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4F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-252.89</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B30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-137.78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E5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3.8921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C4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0.3001</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00E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0.2997</w:t>
            </w:r>
          </w:p>
        </w:tc>
      </w:tr>
    </w:tbl>
    <w:p w14:paraId="0F30D1C8">
      <w:pPr>
        <w:rPr>
          <w:rFonts w:hint="default"/>
          <w:sz w:val="24"/>
          <w:szCs w:val="24"/>
          <w:lang w:val="en-US" w:eastAsia="zh-CN"/>
        </w:rPr>
      </w:pPr>
    </w:p>
    <w:p w14:paraId="58B029BB">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lang w:val="en-US" w:eastAsia="zh-CN"/>
        </w:rPr>
        <w:t>测量不确定度评估报告</w:t>
      </w:r>
    </w:p>
    <w:p w14:paraId="3358F64C">
      <w:pPr>
        <w:adjustRightInd w:val="0"/>
        <w:snapToGrid w:val="0"/>
        <w:ind w:firstLine="480" w:firstLineChars="20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仅对采用光谱辐射亮度计标定某一个角度区域的Mini LED显示屏的亮度测量和色品坐标结果进行不确定度评定。</w:t>
      </w:r>
    </w:p>
    <w:p w14:paraId="34A3D15A">
      <w:pPr>
        <w:adjustRightInd w:val="0"/>
        <w:snapToGrid w:val="0"/>
        <w:jc w:val="both"/>
        <w:rPr>
          <w:rFonts w:hint="default" w:ascii="Times New Roman" w:hAnsi="Times New Roman" w:eastAsia="宋体" w:cs="Times New Roman"/>
          <w:sz w:val="24"/>
          <w:szCs w:val="24"/>
          <w:lang w:val="en-US" w:eastAsia="zh-CN"/>
        </w:rPr>
      </w:pPr>
    </w:p>
    <w:p w14:paraId="17F23233">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8.1 亮度测量</w:t>
      </w:r>
      <w:r>
        <w:rPr>
          <w:rFonts w:hint="default" w:ascii="Times New Roman" w:hAnsi="Times New Roman" w:eastAsia="宋体" w:cs="Times New Roman"/>
          <w:bCs/>
          <w:sz w:val="24"/>
          <w:szCs w:val="24"/>
        </w:rPr>
        <w:t>不确定度评定示例</w:t>
      </w:r>
    </w:p>
    <w:p w14:paraId="74D5FB42">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8.1.1 亮度测量模型</w:t>
      </w:r>
    </w:p>
    <w:p w14:paraId="2B599929">
      <w:pPr>
        <w:pStyle w:val="2"/>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w:t>
      </w:r>
      <w:r>
        <w:rPr>
          <w:rFonts w:hint="default" w:ascii="Times New Roman" w:hAnsi="Times New Roman" w:eastAsia="宋体" w:cs="Times New Roman"/>
          <w:sz w:val="24"/>
          <w:szCs w:val="24"/>
        </w:rPr>
        <w:t>Mini LED显示屏测量标准装置</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使用本规范测量光色特性空间分布特性，其</w:t>
      </w:r>
      <w:r>
        <w:rPr>
          <w:rFonts w:hint="default" w:ascii="Times New Roman" w:hAnsi="Times New Roman" w:eastAsia="宋体" w:cs="Times New Roman"/>
          <w:sz w:val="24"/>
          <w:szCs w:val="24"/>
        </w:rPr>
        <w:t>亮度</w:t>
      </w:r>
      <w:r>
        <w:rPr>
          <w:rFonts w:hint="default" w:ascii="Times New Roman" w:hAnsi="Times New Roman" w:eastAsia="宋体" w:cs="Times New Roman"/>
          <w:sz w:val="24"/>
          <w:szCs w:val="24"/>
          <w:lang w:val="en-US" w:eastAsia="zh-CN"/>
        </w:rPr>
        <w:t>结果受</w:t>
      </w:r>
      <w:r>
        <w:rPr>
          <w:rFonts w:hint="default" w:ascii="Times New Roman" w:hAnsi="Times New Roman" w:eastAsia="宋体" w:cs="Times New Roman"/>
          <w:sz w:val="24"/>
          <w:szCs w:val="24"/>
        </w:rPr>
        <w:t>光谱辐射亮度计</w:t>
      </w:r>
      <w:r>
        <w:rPr>
          <w:rFonts w:hint="default" w:ascii="Times New Roman" w:hAnsi="Times New Roman" w:eastAsia="宋体" w:cs="Times New Roman"/>
          <w:sz w:val="24"/>
          <w:szCs w:val="24"/>
          <w:lang w:val="en-US" w:eastAsia="zh-CN"/>
        </w:rPr>
        <w:t>和显示屏自身特性影响</w:t>
      </w:r>
      <w:r>
        <w:rPr>
          <w:rFonts w:hint="default" w:ascii="Times New Roman" w:hAnsi="Times New Roman" w:eastAsia="宋体" w:cs="Times New Roman"/>
          <w:sz w:val="24"/>
          <w:szCs w:val="24"/>
        </w:rPr>
        <w:t>。</w:t>
      </w:r>
    </w:p>
    <w:p w14:paraId="686F1F71">
      <w:pPr>
        <w:pStyle w:val="2"/>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测量过程是使用光谱型辐射亮度计对显示屏目标区域采样并直读结果。</w:t>
      </w:r>
    </w:p>
    <w:p w14:paraId="0A1619AE">
      <w:pPr>
        <w:pStyle w:val="2"/>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根据亮度计的定标和测量规律，其测量模型公式是</w:t>
      </w:r>
    </w:p>
    <w:p w14:paraId="0CE3E3B5">
      <w:pPr>
        <w:pStyle w:val="2"/>
        <w:ind w:firstLine="480" w:firstLineChars="200"/>
        <w:rPr>
          <w:rFonts w:hint="default" w:ascii="Times New Roman" w:hAnsi="Times New Roman" w:eastAsia="宋体" w:cs="Times New Roman"/>
          <w:i w:val="0"/>
          <w:sz w:val="24"/>
          <w:szCs w:val="24"/>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9"/>
        <w:gridCol w:w="1583"/>
      </w:tblGrid>
      <w:tr w14:paraId="1174B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871" w:type="dxa"/>
          </w:tcPr>
          <w:p w14:paraId="0C1F592F">
            <w:pPr>
              <w:pStyle w:val="2"/>
              <w:rPr>
                <w:rFonts w:hint="default" w:ascii="Times New Roman" w:hAnsi="Times New Roman" w:eastAsia="宋体" w:cs="Times New Roman"/>
                <w:i w:val="0"/>
                <w:sz w:val="24"/>
                <w:szCs w:val="24"/>
                <w:vertAlign w:val="baseline"/>
              </w:rPr>
            </w:pPr>
            <m:oMathPara>
              <m:oMath>
                <m:r>
                  <m:rPr/>
                  <w:rPr>
                    <w:rFonts w:hint="default" w:ascii="Cambria Math" w:hAnsi="Cambria Math" w:eastAsia="宋体" w:cs="Times New Roman"/>
                    <w:sz w:val="24"/>
                    <w:szCs w:val="24"/>
                  </w:rPr>
                  <m:t>L</m:t>
                </m:r>
                <m:r>
                  <m:rPr>
                    <m:sty m:val="p"/>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r>
                  <m:rPr>
                    <m:sty m:val="p"/>
                  </m:rPr>
                  <w:rPr>
                    <w:rFonts w:hint="default" w:ascii="Cambria Math" w:hAnsi="Cambria Math" w:eastAsia="宋体" w:cs="Times New Roman"/>
                    <w:sz w:val="24"/>
                    <w:szCs w:val="24"/>
                  </w:rPr>
                  <m:t>∙</m:t>
                </m:r>
                <m:nary>
                  <m:naryPr>
                    <m:chr m:val="∏"/>
                    <m:limLoc m:val="undOvr"/>
                    <m:ctrlPr>
                      <w:rPr>
                        <w:rFonts w:hint="default" w:ascii="Cambria Math" w:hAnsi="Cambria Math" w:eastAsia="宋体" w:cs="Times New Roman"/>
                        <w:i/>
                        <w:sz w:val="24"/>
                        <w:szCs w:val="24"/>
                      </w:rPr>
                    </m:ctrlPr>
                  </m:naryPr>
                  <m:sub>
                    <m:r>
                      <m:rPr/>
                      <w:rPr>
                        <w:rFonts w:hint="default" w:ascii="Cambria Math" w:hAnsi="Cambria Math" w:eastAsia="宋体" w:cs="Times New Roman"/>
                        <w:sz w:val="24"/>
                        <w:szCs w:val="24"/>
                      </w:rPr>
                      <m:t>i=1</m:t>
                    </m:r>
                    <m:ctrlPr>
                      <w:rPr>
                        <w:rFonts w:hint="default" w:ascii="Cambria Math" w:hAnsi="Cambria Math" w:eastAsia="宋体" w:cs="Times New Roman"/>
                        <w:i/>
                        <w:sz w:val="24"/>
                        <w:szCs w:val="24"/>
                      </w:rPr>
                    </m:ctrlPr>
                  </m:sub>
                  <m:sup>
                    <m:r>
                      <m:rPr/>
                      <w:rPr>
                        <w:rFonts w:hint="default" w:ascii="Cambria Math" w:hAnsi="Cambria Math" w:eastAsia="宋体" w:cs="Times New Roman"/>
                        <w:sz w:val="24"/>
                        <w:szCs w:val="24"/>
                      </w:rPr>
                      <m:t>n=4</m:t>
                    </m:r>
                    <m:ctrlPr>
                      <w:rPr>
                        <w:rFonts w:hint="default" w:ascii="Cambria Math" w:hAnsi="Cambria Math" w:eastAsia="宋体" w:cs="Times New Roman"/>
                        <w:i/>
                        <w:sz w:val="24"/>
                        <w:szCs w:val="24"/>
                      </w:rPr>
                    </m:ctrlPr>
                  </m:sup>
                  <m:e>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i</m:t>
                        </m:r>
                        <m:ctrlPr>
                          <w:rPr>
                            <w:rFonts w:hint="default" w:ascii="Cambria Math" w:hAnsi="Cambria Math" w:eastAsia="宋体" w:cs="Times New Roman"/>
                            <w:i/>
                            <w:sz w:val="24"/>
                            <w:szCs w:val="24"/>
                          </w:rPr>
                        </m:ctrlPr>
                      </m:sub>
                    </m:sSub>
                    <m:ctrlPr>
                      <w:rPr>
                        <w:rFonts w:hint="default" w:ascii="Cambria Math" w:hAnsi="Cambria Math" w:eastAsia="宋体" w:cs="Times New Roman"/>
                        <w:i/>
                        <w:sz w:val="24"/>
                        <w:szCs w:val="24"/>
                      </w:rPr>
                    </m:ctrlPr>
                  </m:e>
                </m:nary>
              </m:oMath>
            </m:oMathPara>
          </w:p>
        </w:tc>
        <w:tc>
          <w:tcPr>
            <w:tcW w:w="1651" w:type="dxa"/>
            <w:vAlign w:val="center"/>
          </w:tcPr>
          <w:p w14:paraId="6C65ED29">
            <w:pPr>
              <w:pStyle w:val="2"/>
              <w:ind w:left="0" w:leftChars="0" w:firstLine="0" w:firstLineChars="0"/>
              <w:jc w:val="center"/>
              <w:rPr>
                <w:rFonts w:hint="default" w:ascii="Times New Roman" w:hAnsi="Times New Roman" w:eastAsia="宋体" w:cs="Times New Roman"/>
                <w:i w:val="0"/>
                <w:sz w:val="24"/>
                <w:szCs w:val="24"/>
                <w:vertAlign w:val="baseline"/>
                <w:lang w:val="en-US" w:eastAsia="zh-CN"/>
              </w:rPr>
            </w:pPr>
            <w:r>
              <w:rPr>
                <w:rFonts w:hint="default" w:ascii="Times New Roman" w:hAnsi="Times New Roman" w:eastAsia="宋体" w:cs="Times New Roman"/>
                <w:i w:val="0"/>
                <w:sz w:val="24"/>
                <w:szCs w:val="24"/>
                <w:vertAlign w:val="baseline"/>
                <w:lang w:val="en-US" w:eastAsia="zh-CN"/>
              </w:rPr>
              <w:t>(1)</w:t>
            </w:r>
          </w:p>
        </w:tc>
      </w:tr>
    </w:tbl>
    <w:p w14:paraId="1D4F014B">
      <w:pPr>
        <w:pStyle w:val="2"/>
        <w:ind w:left="0" w:leftChars="0" w:firstLine="0" w:firstLineChars="0"/>
        <w:jc w:val="both"/>
        <w:rPr>
          <w:rFonts w:hint="default" w:ascii="Times New Roman" w:hAnsi="Times New Roman" w:eastAsia="宋体" w:cs="Times New Roman"/>
          <w:i w:val="0"/>
          <w:sz w:val="24"/>
          <w:szCs w:val="24"/>
          <w:lang w:val="en-US" w:eastAsia="zh-CN"/>
        </w:rPr>
      </w:pPr>
    </w:p>
    <w:p w14:paraId="1DA352C6">
      <w:pPr>
        <w:pStyle w:val="2"/>
        <w:ind w:left="0" w:leftChars="0"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式中，</w:t>
      </w:r>
      <w:r>
        <w:rPr>
          <w:rFonts w:hint="default" w:ascii="Times New Roman" w:hAnsi="Times New Roman" w:eastAsia="宋体" w:cs="Times New Roman"/>
          <w:sz w:val="24"/>
          <w:szCs w:val="24"/>
        </w:rPr>
        <w:tab/>
      </w:r>
      <m:oMath>
        <m:r>
          <m:rPr/>
          <w:rPr>
            <w:rFonts w:hint="default" w:ascii="Cambria Math" w:hAnsi="Cambria Math" w:eastAsia="宋体" w:cs="Times New Roman"/>
            <w:sz w:val="24"/>
            <w:szCs w:val="24"/>
            <w:lang w:val="en-US" w:eastAsia="zh-CN"/>
          </w:rPr>
          <m:t>L</m:t>
        </m:r>
      </m:oMath>
      <w:r>
        <w:rPr>
          <w:rFonts w:hint="default" w:ascii="Times New Roman" w:hAnsi="Times New Roman" w:eastAsia="宋体" w:cs="Times New Roman"/>
          <w:sz w:val="24"/>
          <w:szCs w:val="24"/>
        </w:rPr>
        <w:t>——光谱辐射亮度计的</w:t>
      </w:r>
      <w:r>
        <w:rPr>
          <w:rFonts w:hint="default" w:ascii="Times New Roman" w:hAnsi="Times New Roman" w:eastAsia="宋体" w:cs="Times New Roman"/>
          <w:sz w:val="24"/>
          <w:szCs w:val="24"/>
          <w:lang w:val="en-US" w:eastAsia="zh-CN"/>
        </w:rPr>
        <w:t>测量结果</w:t>
      </w:r>
      <w:r>
        <w:rPr>
          <w:rFonts w:hint="default" w:ascii="Times New Roman" w:hAnsi="Times New Roman" w:eastAsia="宋体" w:cs="Times New Roman"/>
          <w:sz w:val="24"/>
          <w:szCs w:val="24"/>
        </w:rPr>
        <w:t>；</w:t>
      </w:r>
    </w:p>
    <w:p w14:paraId="6F93DD9E">
      <w:pPr>
        <w:pStyle w:val="2"/>
        <w:ind w:left="420" w:leftChars="0" w:firstLine="420" w:firstLineChars="0"/>
        <w:rPr>
          <w:rFonts w:hint="default" w:ascii="Times New Roman" w:hAnsi="Times New Roman" w:eastAsia="宋体" w:cs="Times New Roman"/>
          <w:sz w:val="24"/>
          <w:szCs w:val="24"/>
          <w:lang w:val="en-US" w:eastAsia="zh-CN"/>
        </w:rPr>
      </w:pP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rPr>
        <w:t>——光谱辐射亮度计的</w:t>
      </w:r>
      <w:r>
        <w:rPr>
          <w:rFonts w:hint="default" w:ascii="Times New Roman" w:hAnsi="Times New Roman" w:eastAsia="宋体" w:cs="Times New Roman"/>
          <w:sz w:val="24"/>
          <w:szCs w:val="24"/>
          <w:lang w:val="en-US" w:eastAsia="zh-CN"/>
        </w:rPr>
        <w:t>亮度读数值；</w:t>
      </w:r>
    </w:p>
    <w:p w14:paraId="1DAB3C5D">
      <w:pPr>
        <w:pStyle w:val="2"/>
        <w:ind w:left="420" w:leftChars="0" w:firstLine="420" w:firstLineChars="0"/>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i</m:t>
            </m:r>
            <m:ctrlPr>
              <w:rPr>
                <w:rFonts w:hint="default" w:ascii="Cambria Math" w:hAnsi="Cambria Math" w:eastAsia="宋体" w:cs="Times New Roman"/>
                <w:i/>
                <w:sz w:val="24"/>
                <w:szCs w:val="24"/>
              </w:rPr>
            </m:ctrlPr>
          </m:sub>
        </m:sSub>
      </m:oMath>
      <w:r>
        <w:rPr>
          <w:rFonts w:hint="default" w:ascii="Times New Roman" w:hAnsi="Times New Roman" w:eastAsia="宋体" w:cs="Times New Roman"/>
          <w:sz w:val="24"/>
          <w:szCs w:val="24"/>
        </w:rPr>
        <w:t>——光谱辐射亮度计的系列修正系数，分别是非线性、内部杂散光、测量距离和像素点间距。本模型中该系数均取1（即不进行修正，但需考虑其不确定度的影响）</w:t>
      </w:r>
    </w:p>
    <w:p w14:paraId="4D378BBC">
      <w:pPr>
        <w:pStyle w:val="2"/>
        <w:ind w:left="420" w:leftChars="0" w:firstLine="420" w:firstLineChars="0"/>
        <w:rPr>
          <w:rFonts w:hint="default" w:ascii="Times New Roman" w:hAnsi="Times New Roman" w:eastAsia="宋体" w:cs="Times New Roman"/>
          <w:sz w:val="24"/>
          <w:szCs w:val="24"/>
          <w:lang w:eastAsia="zh-CN"/>
        </w:rPr>
      </w:pPr>
      <m:oMath>
        <m:r>
          <m:rPr/>
          <w:rPr>
            <w:rFonts w:hint="default" w:ascii="Cambria Math" w:hAnsi="Cambria Math" w:eastAsia="宋体" w:cs="Times New Roman"/>
            <w:sz w:val="24"/>
            <w:szCs w:val="24"/>
          </w:rPr>
          <m:t>n</m:t>
        </m:r>
      </m:oMath>
      <w:r>
        <w:rPr>
          <w:rFonts w:hint="default" w:ascii="Times New Roman" w:hAnsi="Times New Roman" w:eastAsia="宋体" w:cs="Times New Roman"/>
          <w:sz w:val="24"/>
          <w:szCs w:val="24"/>
        </w:rPr>
        <w:t>——光谱辐射亮度计的采用修正系数个数，本模型中是4个。</w:t>
      </w:r>
      <w:r>
        <w:rPr>
          <w:rFonts w:hint="default" w:ascii="Times New Roman" w:hAnsi="Times New Roman" w:eastAsia="宋体" w:cs="Times New Roman"/>
          <w:sz w:val="24"/>
          <w:szCs w:val="24"/>
          <w:lang w:val="en-US" w:eastAsia="zh-CN"/>
        </w:rPr>
        <w:t>分别是亮度计的非线性、内部杂散光、测量距离和</w:t>
      </w:r>
      <w:r>
        <w:rPr>
          <w:rFonts w:hint="default" w:ascii="Times New Roman" w:hAnsi="Times New Roman" w:eastAsia="宋体" w:cs="Times New Roman"/>
          <w:sz w:val="24"/>
          <w:szCs w:val="24"/>
        </w:rPr>
        <w:t>显示屏像素点间距影响</w:t>
      </w:r>
      <w:r>
        <w:rPr>
          <w:rFonts w:hint="default" w:ascii="Times New Roman" w:hAnsi="Times New Roman" w:eastAsia="宋体" w:cs="Times New Roman"/>
          <w:sz w:val="24"/>
          <w:szCs w:val="24"/>
          <w:lang w:eastAsia="zh-CN"/>
        </w:rPr>
        <w:t>。</w:t>
      </w:r>
    </w:p>
    <w:p w14:paraId="1FAD95B7">
      <w:pPr>
        <w:pStyle w:val="2"/>
        <w:ind w:left="0" w:leftChars="0" w:firstLine="0" w:firstLineChars="0"/>
        <w:rPr>
          <w:rFonts w:hint="default" w:ascii="Times New Roman" w:hAnsi="Times New Roman" w:eastAsia="宋体" w:cs="Times New Roman"/>
          <w:color w:val="000000"/>
          <w:kern w:val="0"/>
          <w:sz w:val="24"/>
          <w:szCs w:val="24"/>
          <w:lang w:val="en-US" w:eastAsia="zh-CN" w:bidi="ar"/>
        </w:rPr>
      </w:pPr>
    </w:p>
    <w:p w14:paraId="3E292C6B">
      <w:pP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 xml:space="preserve">2 </w:t>
      </w:r>
      <w:r>
        <w:rPr>
          <w:rFonts w:hint="default" w:ascii="Times New Roman" w:hAnsi="Times New Roman" w:eastAsia="宋体" w:cs="Times New Roman"/>
          <w:sz w:val="24"/>
          <w:szCs w:val="24"/>
          <w:lang w:val="en-US" w:eastAsia="zh-CN"/>
        </w:rPr>
        <w:t>亮度读数</w:t>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lang w:val="en-US" w:eastAsia="zh-CN"/>
        </w:rPr>
        <w:t>的不确定度分量</w:t>
      </w:r>
      <w:r>
        <w:rPr>
          <w:rFonts w:hint="default" w:ascii="Times New Roman" w:hAnsi="Times New Roman" w:eastAsia="宋体" w:cs="Times New Roman"/>
          <w:sz w:val="24"/>
          <w:szCs w:val="24"/>
          <w:highlight w:val="none"/>
          <w:lang w:val="en-US" w:eastAsia="zh-CN"/>
        </w:rPr>
        <w:t>评定</w:t>
      </w:r>
    </w:p>
    <w:p w14:paraId="25B8A499">
      <w:pPr>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val="0"/>
          <w:sz w:val="24"/>
          <w:szCs w:val="24"/>
          <w:lang w:val="en-US" w:eastAsia="zh-CN"/>
        </w:rPr>
        <w:t>根据经验，</w:t>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rPr>
        <w:t>的不确定度主要包含四个分量。</w:t>
      </w:r>
      <w:r>
        <w:rPr>
          <w:rFonts w:hint="default" w:ascii="Times New Roman" w:hAnsi="Times New Roman" w:eastAsia="宋体" w:cs="Times New Roman"/>
          <w:sz w:val="24"/>
          <w:szCs w:val="24"/>
          <w:lang w:val="en-US" w:eastAsia="zh-CN"/>
        </w:rPr>
        <w:t>分别是亮度计的校准不确定度证书值、亮度计分辨力、测量的重复性、LED显示屏的稳定性。</w:t>
      </w:r>
    </w:p>
    <w:p w14:paraId="5EEEA383">
      <w:pPr>
        <w:rPr>
          <w:rFonts w:hint="default" w:ascii="Times New Roman" w:hAnsi="Times New Roman" w:eastAsia="宋体" w:cs="Times New Roman"/>
          <w:sz w:val="24"/>
          <w:szCs w:val="24"/>
          <w:highlight w:val="none"/>
          <w:lang w:val="en-US" w:eastAsia="zh-CN"/>
        </w:rPr>
      </w:pPr>
    </w:p>
    <w:p w14:paraId="72A8DD15">
      <w:pP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highlight w:val="none"/>
          <w:lang w:val="en-US" w:eastAsia="zh-CN"/>
        </w:rPr>
        <w:t xml:space="preserve">2.1 </w:t>
      </w:r>
      <w:r>
        <w:rPr>
          <w:rFonts w:hint="default" w:ascii="Times New Roman" w:hAnsi="Times New Roman" w:eastAsia="宋体" w:cs="Times New Roman"/>
          <w:color w:val="000000"/>
          <w:kern w:val="0"/>
          <w:sz w:val="24"/>
          <w:szCs w:val="24"/>
          <w:lang w:bidi="ar"/>
        </w:rPr>
        <w:t>上级亮度标准</w:t>
      </w:r>
      <w:r>
        <w:rPr>
          <w:rFonts w:hint="default" w:ascii="Times New Roman" w:hAnsi="Times New Roman" w:eastAsia="宋体" w:cs="Times New Roman"/>
          <w:color w:val="000000"/>
          <w:kern w:val="0"/>
          <w:sz w:val="24"/>
          <w:szCs w:val="24"/>
          <w:lang w:val="en-US" w:eastAsia="zh-CN" w:bidi="ar"/>
        </w:rPr>
        <w:t>标定</w:t>
      </w:r>
    </w:p>
    <w:p w14:paraId="0EF0D309">
      <w:pPr>
        <w:numPr>
          <w:ilvl w:val="0"/>
          <w:numId w:val="0"/>
        </w:numPr>
        <w:ind w:leftChars="0"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亮度计的校准</w:t>
      </w:r>
      <w:r>
        <w:rPr>
          <w:rFonts w:hint="default" w:ascii="Times New Roman" w:hAnsi="Times New Roman" w:eastAsia="宋体" w:cs="Times New Roman"/>
          <w:sz w:val="24"/>
          <w:szCs w:val="24"/>
        </w:rPr>
        <w:t>不确定度</w:t>
      </w:r>
      <w:r>
        <w:rPr>
          <w:rFonts w:hint="default" w:ascii="Times New Roman" w:hAnsi="Times New Roman" w:eastAsia="宋体" w:cs="Times New Roman"/>
          <w:sz w:val="24"/>
          <w:szCs w:val="24"/>
          <w:lang w:val="en-US" w:eastAsia="zh-CN"/>
        </w:rPr>
        <w:t>证书值</w:t>
      </w:r>
      <w:r>
        <w:rPr>
          <w:rFonts w:hint="default" w:ascii="Times New Roman" w:hAnsi="Times New Roman" w:eastAsia="宋体" w:cs="Times New Roman"/>
          <w:sz w:val="24"/>
          <w:szCs w:val="24"/>
        </w:rPr>
        <w:t>。根据校准结果为</w:t>
      </w: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ctrlPr>
              <w:rPr>
                <w:rFonts w:hint="default" w:ascii="Cambria Math" w:hAnsi="Cambria Math" w:eastAsia="宋体" w:cs="Times New Roman"/>
                <w:i/>
                <w:sz w:val="24"/>
                <w:szCs w:val="24"/>
              </w:rPr>
            </m:ctrlPr>
          </m:sub>
        </m:sSub>
        <m:r>
          <m:rPr>
            <m:sty m:val="p"/>
          </m:rPr>
          <w:rPr>
            <w:rFonts w:hint="default" w:ascii="Cambria Math" w:hAnsi="Cambria Math" w:eastAsia="宋体" w:cs="Times New Roman"/>
            <w:sz w:val="24"/>
            <w:szCs w:val="24"/>
          </w:rPr>
          <m:t>=</m:t>
        </m:r>
        <m:r>
          <m:rPr>
            <m:sty m:val="p"/>
          </m:rPr>
          <w:rPr>
            <w:rFonts w:hint="default" w:ascii="Cambria Math" w:hAnsi="Cambria Math" w:eastAsia="宋体" w:cs="Times New Roman"/>
            <w:sz w:val="24"/>
            <w:szCs w:val="24"/>
            <w:lang w:val="en-US" w:eastAsia="zh-CN"/>
          </w:rPr>
          <m:t>2.0</m:t>
        </m:r>
        <m:r>
          <m:rPr>
            <m:sty m:val="p"/>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k</w:t>
      </w:r>
      <w:r>
        <w:rPr>
          <w:rFonts w:hint="default" w:ascii="Times New Roman" w:hAnsi="Times New Roman" w:eastAsia="宋体" w:cs="Times New Roman"/>
          <w:sz w:val="24"/>
          <w:szCs w:val="24"/>
        </w:rPr>
        <w:t>=2。相应的标准不确定度是</w:t>
      </w:r>
    </w:p>
    <w:p w14:paraId="688846B3">
      <w:pPr>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rel,1</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1.0</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3CEB071C">
      <w:pP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highlight w:val="none"/>
          <w:lang w:val="en-US" w:eastAsia="zh-CN"/>
        </w:rPr>
        <w:t xml:space="preserve">2.2 </w:t>
      </w:r>
      <w:r>
        <w:rPr>
          <w:rFonts w:hint="default" w:ascii="Times New Roman" w:hAnsi="Times New Roman" w:eastAsia="宋体" w:cs="Times New Roman"/>
          <w:color w:val="000000"/>
          <w:kern w:val="0"/>
          <w:sz w:val="24"/>
          <w:szCs w:val="24"/>
          <w:lang w:bidi="ar"/>
        </w:rPr>
        <w:t>亮度计分辨力</w:t>
      </w:r>
    </w:p>
    <w:p w14:paraId="6ECEB863">
      <w:pPr>
        <w:numPr>
          <w:ilvl w:val="0"/>
          <w:numId w:val="0"/>
        </w:numPr>
        <w:ind w:leftChars="0" w:firstLine="420" w:firstLineChars="0"/>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sz w:val="24"/>
          <w:szCs w:val="24"/>
          <w:lang w:val="en-US" w:eastAsia="zh-CN"/>
        </w:rPr>
        <w:t>对于当前测量，亮度计的读数分辨力引入的不确定度。当前测量亮度读数是1848.0 cd/m</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lang w:val="en-US" w:eastAsia="zh-CN"/>
        </w:rPr>
        <w:t>，五位有效数字。假设测量值的分布为均匀分布，则亮度计分辨力引</w:t>
      </w:r>
      <w:r>
        <w:rPr>
          <w:rFonts w:hint="default" w:ascii="Times New Roman" w:hAnsi="Times New Roman" w:eastAsia="宋体" w:cs="Times New Roman"/>
          <w:color w:val="000000"/>
          <w:kern w:val="0"/>
          <w:sz w:val="24"/>
          <w:szCs w:val="24"/>
          <w:lang w:val="en-US" w:eastAsia="zh-CN" w:bidi="ar"/>
        </w:rPr>
        <w:t>入的不确定度分量是</w:t>
      </w:r>
    </w:p>
    <w:p w14:paraId="5E79AF6E">
      <w:pPr>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0.1</m:t>
            </m:r>
            <m:ctrlPr>
              <w:rPr>
                <w:rFonts w:hint="default" w:ascii="Cambria Math" w:hAnsi="Cambria Math" w:eastAsia="宋体" w:cs="Times New Roman"/>
                <w:i/>
                <w:sz w:val="24"/>
                <w:szCs w:val="24"/>
              </w:rPr>
            </m:ctrlPr>
          </m:num>
          <m:den>
            <m:r>
              <m:rPr>
                <m:sty m:val="p"/>
              </m:rPr>
              <w:rPr>
                <w:rFonts w:hint="default" w:ascii="Cambria Math" w:hAnsi="Cambria Math" w:eastAsia="宋体" w:cs="Times New Roman"/>
                <w:sz w:val="24"/>
                <w:szCs w:val="24"/>
                <w:lang w:val="en-US" w:eastAsia="zh-CN"/>
              </w:rPr>
              <m:t>1848.0</m:t>
            </m:r>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rPr>
            </m:ctrlPr>
          </m:num>
          <m:den>
            <m:r>
              <m:rPr/>
              <w:rPr>
                <w:rFonts w:hint="default" w:ascii="Cambria Math" w:hAnsi="Cambria Math" w:eastAsia="宋体" w:cs="Times New Roman"/>
                <w:sz w:val="24"/>
                <w:szCs w:val="24"/>
                <w:lang w:val="en-US" w:eastAsia="zh-CN"/>
              </w:rPr>
              <m:t>2</m:t>
            </m:r>
            <m:rad>
              <m:radPr>
                <m:degHide m:val="1"/>
                <m:ctrlPr>
                  <w:rPr>
                    <w:rFonts w:hint="default" w:ascii="Cambria Math" w:hAnsi="Cambria Math" w:eastAsia="宋体" w:cs="Times New Roman"/>
                    <w:i/>
                    <w:sz w:val="24"/>
                    <w:szCs w:val="24"/>
                    <w:lang w:val="en-US" w:eastAsia="zh-CN"/>
                  </w:rPr>
                </m:ctrlPr>
              </m:radPr>
              <m:deg>
                <m:ctrlPr>
                  <w:rPr>
                    <w:rFonts w:hint="default" w:ascii="Cambria Math" w:hAnsi="Cambria Math" w:eastAsia="宋体" w:cs="Times New Roman"/>
                    <w:i/>
                    <w:sz w:val="24"/>
                    <w:szCs w:val="24"/>
                    <w:lang w:val="en-US" w:eastAsia="zh-CN"/>
                  </w:rPr>
                </m:ctrlPr>
              </m:deg>
              <m:e>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lang w:val="en-US" w:eastAsia="zh-CN"/>
                  </w:rPr>
                </m:ctrlPr>
              </m:e>
            </m:rad>
            <m:ctrlPr>
              <w:rPr>
                <w:rFonts w:hint="default" w:ascii="Cambria Math" w:hAnsi="Cambria Math" w:eastAsia="宋体" w:cs="Times New Roman"/>
                <w:i/>
                <w:sz w:val="24"/>
                <w:szCs w:val="24"/>
              </w:rPr>
            </m:ctrlPr>
          </m:den>
        </m:f>
        <m:r>
          <m:rPr>
            <m:sty m:val="p"/>
          </m:rPr>
          <w:rPr>
            <w:rFonts w:hint="default" w:ascii="Cambria Math" w:hAnsi="Cambria Math" w:eastAsia="宋体" w:cs="Times New Roman"/>
            <w:sz w:val="24"/>
            <w:szCs w:val="24"/>
          </w:rPr>
          <m:t>≈</m:t>
        </m:r>
        <m:r>
          <m:rPr>
            <m:sty m:val="p"/>
          </m:rPr>
          <w:rPr>
            <w:rFonts w:hint="default" w:ascii="Cambria Math" w:hAnsi="Cambria Math" w:eastAsia="宋体" w:cs="Times New Roman"/>
            <w:sz w:val="24"/>
            <w:szCs w:val="24"/>
            <w:lang w:val="en-US" w:eastAsia="zh-CN"/>
          </w:rPr>
          <m:t>0</m:t>
        </m:r>
      </m:oMath>
      <w:r>
        <w:rPr>
          <w:rFonts w:hint="default" w:ascii="Times New Roman" w:hAnsi="Times New Roman" w:eastAsia="宋体" w:cs="Times New Roman"/>
          <w:i w:val="0"/>
          <w:iCs/>
          <w:sz w:val="24"/>
          <w:szCs w:val="24"/>
          <w:lang w:val="en-US" w:eastAsia="zh-CN"/>
        </w:rPr>
        <w:t>.002%</w:t>
      </w:r>
      <w:r>
        <w:rPr>
          <w:rFonts w:hint="default" w:ascii="Times New Roman" w:hAnsi="Times New Roman" w:eastAsia="宋体" w:cs="Times New Roman"/>
          <w:sz w:val="24"/>
          <w:szCs w:val="24"/>
        </w:rPr>
        <w:t>，B类方法评定。</w:t>
      </w:r>
    </w:p>
    <w:p w14:paraId="7C57DC5B">
      <w:pP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highlight w:val="none"/>
          <w:lang w:val="en-US" w:eastAsia="zh-CN"/>
        </w:rPr>
        <w:t xml:space="preserve">2.3 </w:t>
      </w:r>
      <w:r>
        <w:rPr>
          <w:rFonts w:hint="default" w:ascii="Times New Roman" w:hAnsi="Times New Roman" w:eastAsia="宋体" w:cs="Times New Roman"/>
          <w:color w:val="000000"/>
          <w:kern w:val="0"/>
          <w:sz w:val="24"/>
          <w:szCs w:val="24"/>
          <w:lang w:bidi="ar"/>
        </w:rPr>
        <w:t>测量重复性</w:t>
      </w:r>
    </w:p>
    <w:p w14:paraId="5C36BCDD">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color w:val="000000"/>
          <w:kern w:val="0"/>
          <w:sz w:val="24"/>
          <w:szCs w:val="24"/>
          <w:lang w:val="en-US" w:eastAsia="zh-CN" w:bidi="ar"/>
        </w:rPr>
        <w:t>对于当前测量，采用</w:t>
      </w:r>
      <w:r>
        <w:rPr>
          <w:rFonts w:hint="default" w:ascii="Times New Roman" w:hAnsi="Times New Roman" w:eastAsia="宋体" w:cs="Times New Roman"/>
          <w:sz w:val="24"/>
          <w:szCs w:val="24"/>
          <w:lang w:val="en-US" w:eastAsia="zh-CN"/>
        </w:rPr>
        <w:t>亮度计的连续采样10次，其读数分别是1848.1，1848.3，1847.5，1848.5，1848.0，1847.9，1847.8，1848.3，1847.9，1848.1。10次读数的平均值是1848.0。</w:t>
      </w:r>
      <w:r>
        <w:rPr>
          <w:rFonts w:hint="default" w:ascii="Times New Roman" w:hAnsi="Times New Roman" w:eastAsia="宋体" w:cs="Times New Roman"/>
          <w:sz w:val="24"/>
          <w:szCs w:val="24"/>
        </w:rPr>
        <w:t>使用贝塞尔公式计算的光通量常数平均值的相对实验室标准差，用A类方法评定</w:t>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r</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rPr>
        <w:t>的</w:t>
      </w:r>
      <w:r>
        <w:rPr>
          <w:rFonts w:hint="default" w:ascii="Times New Roman" w:hAnsi="Times New Roman" w:eastAsia="宋体" w:cs="Times New Roman"/>
          <w:sz w:val="24"/>
          <w:szCs w:val="24"/>
          <w:lang w:val="en-US" w:eastAsia="zh-CN"/>
        </w:rPr>
        <w:t xml:space="preserve">重复性影响 </w:t>
      </w:r>
      <m:oMath>
        <m:sSub>
          <m:sSubPr>
            <m:ctrlPr>
              <w:rPr>
                <w:rFonts w:hint="default" w:ascii="Cambria Math" w:hAnsi="Cambria Math" w:eastAsia="宋体" w:cs="Times New Roman"/>
                <w:sz w:val="24"/>
                <w:szCs w:val="24"/>
                <w:lang w:val="en-US" w:eastAsia="zh-CN"/>
              </w:rPr>
            </m:ctrlPr>
          </m:sSubPr>
          <m:e>
            <m:r>
              <m:rPr>
                <m:sty m:val="p"/>
              </m:rPr>
              <w:rPr>
                <w:rFonts w:hint="default" w:ascii="Cambria Math" w:hAnsi="Cambria Math" w:eastAsia="宋体" w:cs="Times New Roman"/>
                <w:sz w:val="24"/>
                <w:szCs w:val="24"/>
                <w:lang w:val="en-US" w:eastAsia="zh-CN"/>
              </w:rPr>
              <m:t>u</m:t>
            </m:r>
            <m:ctrlPr>
              <w:rPr>
                <w:rFonts w:hint="default" w:ascii="Cambria Math" w:hAnsi="Cambria Math" w:eastAsia="宋体" w:cs="Times New Roman"/>
                <w:sz w:val="24"/>
                <w:szCs w:val="24"/>
                <w:lang w:val="en-US" w:eastAsia="zh-CN"/>
              </w:rPr>
            </m:ctrlPr>
          </m:e>
          <m:sub>
            <m:r>
              <m:rPr>
                <m:sty m:val="p"/>
              </m:rPr>
              <w:rPr>
                <w:rFonts w:hint="default" w:ascii="Cambria Math" w:hAnsi="Cambria Math" w:eastAsia="宋体" w:cs="Times New Roman"/>
                <w:sz w:val="24"/>
                <w:szCs w:val="24"/>
                <w:lang w:val="en-US" w:eastAsia="zh-CN"/>
              </w:rPr>
              <m:t>rel,3</m:t>
            </m:r>
            <m:ctrlPr>
              <w:rPr>
                <w:rFonts w:hint="default" w:ascii="Cambria Math" w:hAnsi="Cambria Math" w:eastAsia="宋体" w:cs="Times New Roman"/>
                <w:sz w:val="24"/>
                <w:szCs w:val="24"/>
                <w:lang w:val="en-US" w:eastAsia="zh-CN"/>
              </w:rPr>
            </m:ctrlPr>
          </m:sub>
        </m:sSub>
      </m:oMath>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相对标准不确定度为</w:t>
      </w:r>
    </w:p>
    <w:p w14:paraId="0013DCF9">
      <w:pPr>
        <w:ind w:firstLine="480" w:firstLineChars="20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)≤0.0</m:t>
        </m:r>
        <m:r>
          <m:rPr/>
          <w:rPr>
            <w:rFonts w:hint="default" w:ascii="Cambria Math" w:hAnsi="Cambria Math" w:eastAsia="宋体" w:cs="Times New Roman"/>
            <w:sz w:val="24"/>
            <w:szCs w:val="24"/>
            <w:lang w:val="en-US" w:eastAsia="zh-CN"/>
          </w:rPr>
          <m:t>3</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类方法评定。</w:t>
      </w:r>
    </w:p>
    <w:p w14:paraId="7701E07B">
      <w:pP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highlight w:val="none"/>
          <w:lang w:val="en-US" w:eastAsia="zh-CN"/>
        </w:rPr>
        <w:t xml:space="preserve">2.4 </w:t>
      </w:r>
      <w:r>
        <w:rPr>
          <w:rFonts w:hint="default" w:ascii="Times New Roman" w:hAnsi="Times New Roman" w:eastAsia="宋体" w:cs="Times New Roman"/>
          <w:sz w:val="24"/>
          <w:szCs w:val="24"/>
        </w:rPr>
        <w:t>LED</w:t>
      </w:r>
      <w:r>
        <w:rPr>
          <w:rFonts w:hint="default" w:ascii="Times New Roman" w:hAnsi="Times New Roman" w:eastAsia="宋体" w:cs="Times New Roman"/>
          <w:sz w:val="24"/>
          <w:szCs w:val="24"/>
          <w:lang w:val="en-US" w:eastAsia="zh-CN"/>
        </w:rPr>
        <w:t>显示屏</w:t>
      </w:r>
      <w:r>
        <w:rPr>
          <w:rFonts w:hint="default" w:ascii="Times New Roman" w:hAnsi="Times New Roman" w:eastAsia="宋体" w:cs="Times New Roman"/>
          <w:sz w:val="24"/>
          <w:szCs w:val="24"/>
        </w:rPr>
        <w:t>稳定性</w:t>
      </w:r>
      <w:r>
        <w:rPr>
          <w:rFonts w:hint="default" w:ascii="Times New Roman" w:hAnsi="Times New Roman" w:eastAsia="宋体" w:cs="Times New Roman"/>
          <w:sz w:val="24"/>
          <w:szCs w:val="24"/>
          <w:lang w:val="en-US" w:eastAsia="zh-CN"/>
        </w:rPr>
        <w:t>的影响。</w:t>
      </w:r>
    </w:p>
    <w:p w14:paraId="4519F279">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Mini LED显示屏</w:t>
      </w:r>
      <w:r>
        <w:rPr>
          <w:rFonts w:hint="default" w:ascii="Times New Roman" w:hAnsi="Times New Roman" w:eastAsia="宋体" w:cs="Times New Roman"/>
          <w:sz w:val="24"/>
          <w:szCs w:val="24"/>
        </w:rPr>
        <w:t>在重复点燃，</w:t>
      </w:r>
      <w:r>
        <w:rPr>
          <w:rFonts w:hint="default" w:ascii="Times New Roman" w:hAnsi="Times New Roman" w:eastAsia="宋体" w:cs="Times New Roman"/>
          <w:sz w:val="24"/>
          <w:szCs w:val="24"/>
          <w:lang w:val="en-US" w:eastAsia="zh-CN"/>
        </w:rPr>
        <w:t>受环境温度和自身重复性等因素影响，</w:t>
      </w:r>
      <w:r>
        <w:rPr>
          <w:rFonts w:hint="default" w:ascii="Times New Roman" w:hAnsi="Times New Roman" w:eastAsia="宋体" w:cs="Times New Roman"/>
          <w:sz w:val="24"/>
          <w:szCs w:val="24"/>
        </w:rPr>
        <w:t>其实际</w:t>
      </w:r>
      <w:r>
        <w:rPr>
          <w:rFonts w:hint="default" w:ascii="Times New Roman" w:hAnsi="Times New Roman" w:eastAsia="宋体" w:cs="Times New Roman"/>
          <w:sz w:val="24"/>
          <w:szCs w:val="24"/>
          <w:lang w:val="en-US" w:eastAsia="zh-CN"/>
        </w:rPr>
        <w:t>亮度</w:t>
      </w:r>
      <w:r>
        <w:rPr>
          <w:rFonts w:hint="default" w:ascii="Times New Roman" w:hAnsi="Times New Roman" w:eastAsia="宋体" w:cs="Times New Roman"/>
          <w:sz w:val="24"/>
          <w:szCs w:val="24"/>
        </w:rPr>
        <w:t>有一定起伏，根据经验，对于被测灯，其</w:t>
      </w:r>
      <w:r>
        <w:rPr>
          <w:rFonts w:hint="default" w:ascii="Times New Roman" w:hAnsi="Times New Roman" w:eastAsia="宋体" w:cs="Times New Roman"/>
          <w:sz w:val="24"/>
          <w:szCs w:val="24"/>
          <w:lang w:val="en-US" w:eastAsia="zh-CN"/>
        </w:rPr>
        <w:t>亮度</w:t>
      </w:r>
      <w:r>
        <w:rPr>
          <w:rFonts w:hint="default" w:ascii="Times New Roman" w:hAnsi="Times New Roman" w:eastAsia="宋体" w:cs="Times New Roman"/>
          <w:sz w:val="24"/>
          <w:szCs w:val="24"/>
        </w:rPr>
        <w:t>量值变化范围不超过</w:t>
      </w:r>
      <w:r>
        <w:rPr>
          <w:rFonts w:hint="default" w:ascii="Times New Roman" w:hAnsi="Times New Roman" w:eastAsia="宋体" w:cs="Times New Roman"/>
          <w:sz w:val="24"/>
          <w:szCs w:val="24"/>
          <w:lang w:val="en-US" w:eastAsia="zh-CN"/>
        </w:rPr>
        <w:t xml:space="preserve">1.8 </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假设其亮度不影响性是</w:t>
      </w:r>
      <w:r>
        <w:rPr>
          <w:rFonts w:hint="default" w:ascii="Times New Roman" w:hAnsi="Times New Roman" w:eastAsia="宋体" w:cs="Times New Roman"/>
          <w:sz w:val="24"/>
          <w:szCs w:val="24"/>
        </w:rPr>
        <w:t>均匀分布</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显示屏亮度</w:t>
      </w:r>
      <w:r>
        <w:rPr>
          <w:rFonts w:hint="default" w:ascii="Times New Roman" w:hAnsi="Times New Roman" w:eastAsia="宋体" w:cs="Times New Roman"/>
          <w:sz w:val="24"/>
          <w:szCs w:val="24"/>
        </w:rPr>
        <w:t>分散性引入的不确定度是</w:t>
      </w:r>
    </w:p>
    <w:p w14:paraId="26737C6A">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L</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1.8</m:t>
            </m:r>
            <m:r>
              <m:rPr/>
              <w:rPr>
                <w:rFonts w:hint="default" w:ascii="Cambria Math" w:hAnsi="Cambria Math" w:eastAsia="宋体" w:cs="Times New Roman"/>
                <w:sz w:val="24"/>
                <w:szCs w:val="24"/>
              </w:rPr>
              <m:t>%</m:t>
            </m:r>
            <m:ctrlPr>
              <w:rPr>
                <w:rFonts w:hint="default" w:ascii="Cambria Math" w:hAnsi="Cambria Math" w:eastAsia="宋体" w:cs="Times New Roman"/>
                <w:i/>
                <w:sz w:val="24"/>
                <w:szCs w:val="24"/>
              </w:rPr>
            </m:ctrlPr>
          </m:num>
          <m:den>
            <m:r>
              <m:rPr/>
              <w:rPr>
                <w:rFonts w:hint="default" w:ascii="Cambria Math" w:hAnsi="Cambria Math" w:eastAsia="宋体" w:cs="Times New Roman"/>
                <w:sz w:val="24"/>
                <w:szCs w:val="24"/>
              </w:rPr>
              <m:t>2</m:t>
            </m:r>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m:t>
        </m:r>
        <m:f>
          <m:fPr>
            <m:ctrlPr>
              <w:rPr>
                <w:rFonts w:hint="default" w:ascii="Cambria Math" w:hAnsi="Cambria Math" w:eastAsia="宋体" w:cs="Times New Roman"/>
                <w:sz w:val="24"/>
                <w:szCs w:val="24"/>
              </w:rPr>
            </m:ctrlPr>
          </m:fPr>
          <m:num>
            <m:r>
              <m:rPr>
                <m:sty m:val="p"/>
              </m:rPr>
              <w:rPr>
                <w:rFonts w:hint="default" w:ascii="Cambria Math" w:hAnsi="Cambria Math" w:eastAsia="宋体" w:cs="Times New Roman"/>
                <w:sz w:val="24"/>
                <w:szCs w:val="24"/>
              </w:rPr>
              <m:t>1</m:t>
            </m:r>
            <m:ctrlPr>
              <w:rPr>
                <w:rFonts w:hint="default" w:ascii="Cambria Math" w:hAnsi="Cambria Math" w:eastAsia="宋体" w:cs="Times New Roman"/>
                <w:sz w:val="24"/>
                <w:szCs w:val="24"/>
              </w:rPr>
            </m:ctrlPr>
          </m:num>
          <m:den>
            <m:rad>
              <m:radPr>
                <m:degHide m:val="1"/>
                <m:ctrlPr>
                  <w:rPr>
                    <w:rFonts w:hint="default" w:ascii="Cambria Math" w:hAnsi="Cambria Math" w:eastAsia="宋体" w:cs="Times New Roman"/>
                    <w:sz w:val="24"/>
                    <w:szCs w:val="24"/>
                  </w:rPr>
                </m:ctrlPr>
              </m:radPr>
              <m:deg>
                <m:ctrlPr>
                  <w:rPr>
                    <w:rFonts w:hint="default" w:ascii="Cambria Math" w:hAnsi="Cambria Math" w:eastAsia="宋体" w:cs="Times New Roman"/>
                    <w:sz w:val="24"/>
                    <w:szCs w:val="24"/>
                  </w:rPr>
                </m:ctrlPr>
              </m:deg>
              <m:e>
                <m:r>
                  <m:rPr>
                    <m:sty m:val="p"/>
                  </m:rPr>
                  <w:rPr>
                    <w:rFonts w:hint="default" w:ascii="Cambria Math" w:hAnsi="Cambria Math" w:eastAsia="宋体" w:cs="Times New Roman"/>
                    <w:sz w:val="24"/>
                    <w:szCs w:val="24"/>
                  </w:rPr>
                  <m:t>3</m:t>
                </m:r>
                <m:ctrlPr>
                  <w:rPr>
                    <w:rFonts w:hint="default" w:ascii="Cambria Math" w:hAnsi="Cambria Math" w:eastAsia="宋体" w:cs="Times New Roman"/>
                    <w:sz w:val="24"/>
                    <w:szCs w:val="24"/>
                  </w:rPr>
                </m:ctrlPr>
              </m:e>
            </m:rad>
            <m:ctrlPr>
              <w:rPr>
                <w:rFonts w:hint="default" w:ascii="Cambria Math" w:hAnsi="Cambria Math" w:eastAsia="宋体" w:cs="Times New Roman"/>
                <w:sz w:val="24"/>
                <w:szCs w:val="24"/>
              </w:rPr>
            </m:ctrlPr>
          </m:den>
        </m:f>
        <m:r>
          <m:rPr/>
          <w:rPr>
            <w:rFonts w:hint="default" w:ascii="Cambria Math" w:hAnsi="Cambria Math" w:eastAsia="宋体" w:cs="Times New Roman"/>
            <w:sz w:val="24"/>
            <w:szCs w:val="24"/>
          </w:rPr>
          <m:t>≈0.</m:t>
        </m:r>
        <m:r>
          <m:rPr/>
          <w:rPr>
            <w:rFonts w:hint="default" w:ascii="Cambria Math" w:hAnsi="Cambria Math" w:eastAsia="宋体" w:cs="Times New Roman"/>
            <w:sz w:val="24"/>
            <w:szCs w:val="24"/>
            <w:lang w:val="en-US" w:eastAsia="zh-CN"/>
          </w:rPr>
          <m:t>5</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3D659F93">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3 修正系数的</w:t>
      </w:r>
      <w:r>
        <w:rPr>
          <w:rFonts w:hint="default" w:ascii="Times New Roman" w:hAnsi="Times New Roman" w:eastAsia="宋体" w:cs="Times New Roman"/>
          <w:sz w:val="24"/>
          <w:szCs w:val="24"/>
          <w:lang w:val="en-US" w:eastAsia="zh-CN"/>
        </w:rPr>
        <w:t>不确定度分量</w:t>
      </w:r>
      <w:r>
        <w:rPr>
          <w:rFonts w:hint="default" w:ascii="Times New Roman" w:hAnsi="Times New Roman" w:eastAsia="宋体" w:cs="Times New Roman"/>
          <w:sz w:val="24"/>
          <w:szCs w:val="24"/>
          <w:highlight w:val="none"/>
          <w:lang w:val="en-US" w:eastAsia="zh-CN"/>
        </w:rPr>
        <w:t>评定</w:t>
      </w:r>
    </w:p>
    <w:p w14:paraId="40618056">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 xml:space="preserve">3.1 </w:t>
      </w:r>
      <w:r>
        <w:rPr>
          <w:rFonts w:hint="default" w:ascii="Times New Roman" w:hAnsi="Times New Roman" w:eastAsia="宋体" w:cs="Times New Roman"/>
          <w:sz w:val="24"/>
          <w:szCs w:val="24"/>
          <w:lang w:val="en-US" w:eastAsia="zh-CN"/>
        </w:rPr>
        <w:t>亮度计的非线性</w:t>
      </w:r>
    </w:p>
    <w:p w14:paraId="67530C52">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亮度计由于感光单元的特性，存在较显著的非线性效应。尽管亮度计在仪器设计上已进行非线性修正，但由于不同光谱区域的非线性特性差异等因素，无法彻底消除非线性的影响。根据经验，非线性的偏差不大于±0.2%，非线性引入的不确定度分量是</w:t>
      </w:r>
    </w:p>
    <w:p w14:paraId="1260D487">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5</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c</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0.2</m:t>
            </m:r>
            <m:r>
              <m:rPr/>
              <w:rPr>
                <w:rFonts w:hint="default" w:ascii="Cambria Math" w:hAnsi="Cambria Math" w:eastAsia="宋体" w:cs="Times New Roman"/>
                <w:sz w:val="24"/>
                <w:szCs w:val="24"/>
              </w:rPr>
              <m:t>%</m:t>
            </m:r>
            <m:ctrlPr>
              <w:rPr>
                <w:rFonts w:hint="default" w:ascii="Cambria Math" w:hAnsi="Cambria Math" w:eastAsia="宋体" w:cs="Times New Roman"/>
                <w:i/>
                <w:sz w:val="24"/>
                <w:szCs w:val="24"/>
              </w:rPr>
            </m:ctrlPr>
          </m:num>
          <m:den>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e>
            </m:rad>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≈0.</m:t>
        </m:r>
        <m:r>
          <m:rPr/>
          <w:rPr>
            <w:rFonts w:hint="default" w:ascii="Cambria Math" w:hAnsi="Cambria Math" w:eastAsia="宋体" w:cs="Times New Roman"/>
            <w:sz w:val="24"/>
            <w:szCs w:val="24"/>
            <w:lang w:val="en-US" w:eastAsia="zh-CN"/>
          </w:rPr>
          <m:t>1</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2ACD1040">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 xml:space="preserve">3.2 </w:t>
      </w:r>
      <w:r>
        <w:rPr>
          <w:rFonts w:hint="default" w:ascii="Times New Roman" w:hAnsi="Times New Roman" w:eastAsia="宋体" w:cs="Times New Roman"/>
          <w:sz w:val="24"/>
          <w:szCs w:val="24"/>
          <w:lang w:val="en-US" w:eastAsia="zh-CN"/>
        </w:rPr>
        <w:t>内部杂散光</w:t>
      </w:r>
    </w:p>
    <w:p w14:paraId="5692B8F5">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感光单元是阵列式的亮度计，因光栅特性、内部散射和荧光效应，存在内部杂散光，即非目标波长的光线投射到感光单元上。根据经验，内部杂散光的对结果的偏差不大于±0.5%，假设均匀分布，其内部杂散光引入的不确定度分量是</w:t>
      </w:r>
    </w:p>
    <w:p w14:paraId="6A0C31E5">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6</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c</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0.5</m:t>
            </m:r>
            <m:r>
              <m:rPr/>
              <w:rPr>
                <w:rFonts w:hint="default" w:ascii="Cambria Math" w:hAnsi="Cambria Math" w:eastAsia="宋体" w:cs="Times New Roman"/>
                <w:sz w:val="24"/>
                <w:szCs w:val="24"/>
              </w:rPr>
              <m:t>%</m:t>
            </m:r>
            <m:ctrlPr>
              <w:rPr>
                <w:rFonts w:hint="default" w:ascii="Cambria Math" w:hAnsi="Cambria Math" w:eastAsia="宋体" w:cs="Times New Roman"/>
                <w:i/>
                <w:sz w:val="24"/>
                <w:szCs w:val="24"/>
              </w:rPr>
            </m:ctrlPr>
          </m:num>
          <m:den>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e>
            </m:rad>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≈0.</m:t>
        </m:r>
        <m:r>
          <m:rPr/>
          <w:rPr>
            <w:rFonts w:hint="default" w:ascii="Cambria Math" w:hAnsi="Cambria Math" w:eastAsia="宋体" w:cs="Times New Roman"/>
            <w:sz w:val="24"/>
            <w:szCs w:val="24"/>
            <w:lang w:val="en-US" w:eastAsia="zh-CN"/>
          </w:rPr>
          <m:t>3</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224D0620">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 xml:space="preserve">3.3 </w:t>
      </w:r>
      <w:r>
        <w:rPr>
          <w:rFonts w:hint="default" w:ascii="Times New Roman" w:hAnsi="Times New Roman" w:eastAsia="宋体" w:cs="Times New Roman"/>
          <w:sz w:val="24"/>
          <w:szCs w:val="24"/>
          <w:lang w:val="en-US" w:eastAsia="zh-CN"/>
        </w:rPr>
        <w:t>测量距离</w:t>
      </w:r>
    </w:p>
    <w:p w14:paraId="20644AC0">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亮度计的感光单元前有成像光路，因透镜质量，亮度测量值受测量距离（亮度计到显示屏的距离）影响。测量使用的亮度计的定标距离是500 mm，而本次测量使用的测量距离是1500 mm，根据经验，测量距离对结果的偏差不大于±0.5%，测量距离引入的不确定度分量是</w:t>
      </w:r>
    </w:p>
    <w:p w14:paraId="0015784C">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7</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c</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0.5</m:t>
            </m:r>
            <m:r>
              <m:rPr/>
              <w:rPr>
                <w:rFonts w:hint="default" w:ascii="Cambria Math" w:hAnsi="Cambria Math" w:eastAsia="宋体" w:cs="Times New Roman"/>
                <w:sz w:val="24"/>
                <w:szCs w:val="24"/>
              </w:rPr>
              <m:t>%</m:t>
            </m:r>
            <m:ctrlPr>
              <w:rPr>
                <w:rFonts w:hint="default" w:ascii="Cambria Math" w:hAnsi="Cambria Math" w:eastAsia="宋体" w:cs="Times New Roman"/>
                <w:i/>
                <w:sz w:val="24"/>
                <w:szCs w:val="24"/>
              </w:rPr>
            </m:ctrlPr>
          </m:num>
          <m:den>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e>
            </m:rad>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≈0.</m:t>
        </m:r>
        <m:r>
          <m:rPr/>
          <w:rPr>
            <w:rFonts w:hint="default" w:ascii="Cambria Math" w:hAnsi="Cambria Math" w:eastAsia="宋体" w:cs="Times New Roman"/>
            <w:sz w:val="24"/>
            <w:szCs w:val="24"/>
            <w:lang w:val="en-US" w:eastAsia="zh-CN"/>
          </w:rPr>
          <m:t>3</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0A74AC56">
      <w:pPr>
        <w:adjustRightInd w:val="0"/>
        <w:snapToGrid w:val="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3.4 显示屏像素点间距影响</w:t>
      </w:r>
    </w:p>
    <w:p w14:paraId="0488F31F">
      <w:pPr>
        <w:pStyle w:val="2"/>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测量对象Mini LED存在像素点间距。根据</w:t>
      </w:r>
      <w:r>
        <w:rPr>
          <w:rFonts w:hint="default" w:ascii="Times New Roman" w:hAnsi="Times New Roman" w:eastAsia="宋体" w:cs="Times New Roman"/>
          <w:sz w:val="24"/>
          <w:szCs w:val="24"/>
        </w:rPr>
        <w:t>光谱辐射亮度计的测量视场角1°，</w:t>
      </w:r>
      <w:r>
        <w:rPr>
          <w:rFonts w:hint="default"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rPr>
        <w:t>测量距离1500</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mm，</w:t>
      </w:r>
      <w:r>
        <w:rPr>
          <w:rFonts w:hint="default" w:ascii="Times New Roman" w:hAnsi="Times New Roman" w:eastAsia="宋体" w:cs="Times New Roman"/>
          <w:sz w:val="24"/>
          <w:szCs w:val="24"/>
          <w:lang w:val="en-US" w:eastAsia="zh-CN"/>
        </w:rPr>
        <w:t>计算出</w:t>
      </w:r>
      <w:r>
        <w:rPr>
          <w:rFonts w:hint="default" w:ascii="Times New Roman" w:hAnsi="Times New Roman" w:eastAsia="宋体" w:cs="Times New Roman"/>
          <w:sz w:val="24"/>
          <w:szCs w:val="24"/>
        </w:rPr>
        <w:t>在垂直方向上对应显示屏采样区域的直径约26</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mm，面积约530</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mm</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其像素点个数超过500个，根据经验，</w:t>
      </w:r>
      <w:r>
        <w:rPr>
          <w:rFonts w:hint="default" w:ascii="Times New Roman" w:hAnsi="Times New Roman" w:eastAsia="宋体" w:cs="Times New Roman"/>
          <w:i w:val="0"/>
          <w:kern w:val="2"/>
          <w:sz w:val="24"/>
          <w:szCs w:val="24"/>
          <w:lang w:val="en-US" w:eastAsia="zh-CN" w:bidi="ar-SA"/>
        </w:rPr>
        <w:t>显示屏像素点间距影响</w:t>
      </w:r>
      <w:r>
        <w:rPr>
          <w:rFonts w:hint="default" w:ascii="Times New Roman" w:hAnsi="Times New Roman" w:eastAsia="宋体" w:cs="Times New Roman"/>
          <w:sz w:val="24"/>
          <w:szCs w:val="24"/>
          <w:lang w:val="en-US" w:eastAsia="zh-CN"/>
        </w:rPr>
        <w:t>的偏差不大于±0.2%，</w:t>
      </w:r>
      <w:r>
        <w:rPr>
          <w:rFonts w:hint="default" w:ascii="Times New Roman" w:hAnsi="Times New Roman" w:eastAsia="宋体" w:cs="Times New Roman"/>
          <w:i w:val="0"/>
          <w:kern w:val="2"/>
          <w:sz w:val="24"/>
          <w:szCs w:val="24"/>
          <w:lang w:val="en-US" w:eastAsia="zh-CN" w:bidi="ar-SA"/>
        </w:rPr>
        <w:t>显示屏像素点间距影响</w:t>
      </w:r>
      <w:r>
        <w:rPr>
          <w:rFonts w:hint="default" w:ascii="Times New Roman" w:hAnsi="Times New Roman" w:eastAsia="宋体" w:cs="Times New Roman"/>
          <w:sz w:val="24"/>
          <w:szCs w:val="24"/>
          <w:lang w:val="en-US" w:eastAsia="zh-CN"/>
        </w:rPr>
        <w:t>引入的不确定度分量是</w:t>
      </w:r>
    </w:p>
    <w:p w14:paraId="23B1ED70">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r>
              <m:rPr>
                <m:sty m:val="p"/>
              </m:rPr>
              <w:rPr>
                <w:rFonts w:hint="default" w:ascii="Cambria Math" w:hAnsi="Cambria Math" w:eastAsia="宋体" w:cs="Times New Roman"/>
                <w:sz w:val="24"/>
                <w:szCs w:val="24"/>
                <w:lang w:val="en-US" w:eastAsia="zh-CN"/>
              </w:rPr>
              <m:t>8</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c</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0.2</m:t>
            </m:r>
            <m:r>
              <m:rPr/>
              <w:rPr>
                <w:rFonts w:hint="default" w:ascii="Cambria Math" w:hAnsi="Cambria Math" w:eastAsia="宋体" w:cs="Times New Roman"/>
                <w:sz w:val="24"/>
                <w:szCs w:val="24"/>
              </w:rPr>
              <m:t>%</m:t>
            </m:r>
            <m:ctrlPr>
              <w:rPr>
                <w:rFonts w:hint="default" w:ascii="Cambria Math" w:hAnsi="Cambria Math" w:eastAsia="宋体" w:cs="Times New Roman"/>
                <w:i/>
                <w:sz w:val="24"/>
                <w:szCs w:val="24"/>
              </w:rPr>
            </m:ctrlPr>
          </m:num>
          <m:den>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e>
            </m:rad>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≈0.</m:t>
        </m:r>
        <m:r>
          <m:rPr/>
          <w:rPr>
            <w:rFonts w:hint="default" w:ascii="Cambria Math" w:hAnsi="Cambria Math" w:eastAsia="宋体" w:cs="Times New Roman"/>
            <w:sz w:val="24"/>
            <w:szCs w:val="24"/>
            <w:lang w:val="en-US" w:eastAsia="zh-CN"/>
          </w:rPr>
          <m:t>1</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，B类方法评定。</w:t>
      </w:r>
    </w:p>
    <w:p w14:paraId="4CE0ADA6">
      <w:pPr>
        <w:adjustRightInd w:val="0"/>
        <w:snapToGrid w:val="0"/>
        <w:ind w:firstLine="420" w:firstLineChars="0"/>
        <w:jc w:val="both"/>
        <w:rPr>
          <w:rFonts w:hint="default" w:ascii="Times New Roman" w:hAnsi="Times New Roman" w:eastAsia="宋体" w:cs="Times New Roman"/>
          <w:sz w:val="24"/>
          <w:szCs w:val="24"/>
          <w:lang w:val="en-US" w:eastAsia="zh-CN"/>
        </w:rPr>
      </w:pPr>
    </w:p>
    <w:p w14:paraId="31E36ACE">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i w:val="0"/>
          <w:kern w:val="2"/>
          <w:sz w:val="24"/>
          <w:szCs w:val="24"/>
          <w:lang w:val="en-US" w:eastAsia="zh-CN" w:bidi="ar-SA"/>
        </w:rPr>
        <w:t xml:space="preserve">4 </w:t>
      </w:r>
      <w:r>
        <w:rPr>
          <w:rFonts w:hint="default" w:ascii="Times New Roman" w:hAnsi="Times New Roman" w:eastAsia="宋体" w:cs="Times New Roman"/>
          <w:sz w:val="24"/>
          <w:szCs w:val="24"/>
          <w:highlight w:val="none"/>
          <w:lang w:val="en-US" w:eastAsia="zh-CN"/>
        </w:rPr>
        <w:t>标准不确定度分量评定结果</w:t>
      </w:r>
    </w:p>
    <w:p w14:paraId="20F9C99E">
      <w:pPr>
        <w:pStyle w:val="3"/>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表 </w:t>
      </w:r>
      <w:bookmarkStart w:id="2" w:name="_Toc30715"/>
      <w:r>
        <w:rPr>
          <w:rFonts w:hint="default" w:ascii="Times New Roman" w:hAnsi="Times New Roman" w:eastAsia="宋体" w:cs="Times New Roman"/>
          <w:sz w:val="24"/>
          <w:szCs w:val="24"/>
          <w:lang w:val="en-US" w:eastAsia="zh-CN"/>
        </w:rPr>
        <w:t>8.1</w:t>
      </w:r>
      <w:r>
        <w:rPr>
          <w:rFonts w:hint="default" w:ascii="Times New Roman" w:hAnsi="Times New Roman" w:eastAsia="宋体" w:cs="Times New Roman"/>
          <w:sz w:val="24"/>
          <w:szCs w:val="24"/>
        </w:rPr>
        <w:t xml:space="preserve"> 亮度不确定度分量评估结果</w:t>
      </w:r>
      <w:bookmarkEnd w:id="2"/>
    </w:p>
    <w:tbl>
      <w:tblPr>
        <w:tblStyle w:val="4"/>
        <w:tblW w:w="7027" w:type="dxa"/>
        <w:jc w:val="center"/>
        <w:tblLayout w:type="fixed"/>
        <w:tblCellMar>
          <w:top w:w="0" w:type="dxa"/>
          <w:left w:w="108" w:type="dxa"/>
          <w:bottom w:w="0" w:type="dxa"/>
          <w:right w:w="108" w:type="dxa"/>
        </w:tblCellMar>
      </w:tblPr>
      <w:tblGrid>
        <w:gridCol w:w="2416"/>
        <w:gridCol w:w="1622"/>
        <w:gridCol w:w="2989"/>
      </w:tblGrid>
      <w:tr w14:paraId="38F860BD">
        <w:tblPrEx>
          <w:tblCellMar>
            <w:top w:w="0" w:type="dxa"/>
            <w:left w:w="108" w:type="dxa"/>
            <w:bottom w:w="0" w:type="dxa"/>
            <w:right w:w="108" w:type="dxa"/>
          </w:tblCellMar>
        </w:tblPrEx>
        <w:trPr>
          <w:trHeight w:val="66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7A7B">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来源</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907C">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类型</w:t>
            </w:r>
          </w:p>
        </w:tc>
        <w:tc>
          <w:tcPr>
            <w:tcW w:w="2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A9AF">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相对不确定度分量贡献/%</w:t>
            </w:r>
          </w:p>
        </w:tc>
      </w:tr>
      <w:tr w14:paraId="1F576AA3">
        <w:tblPrEx>
          <w:tblCellMar>
            <w:top w:w="0" w:type="dxa"/>
            <w:left w:w="108" w:type="dxa"/>
            <w:bottom w:w="0" w:type="dxa"/>
            <w:right w:w="108" w:type="dxa"/>
          </w:tblCellMar>
        </w:tblPrEx>
        <w:trPr>
          <w:trHeight w:val="48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3F50C">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上级亮度标准</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CA4A7">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6599">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 xml:space="preserve">1.0 </w:t>
            </w:r>
          </w:p>
        </w:tc>
      </w:tr>
      <w:tr w14:paraId="081926D9">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B0B3">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亮度计分辨力</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B9CA">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507A">
            <w:pPr>
              <w:widowControl/>
              <w:jc w:val="center"/>
              <w:textAlignment w:val="center"/>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kern w:val="0"/>
                <w:sz w:val="24"/>
                <w:szCs w:val="24"/>
                <w:lang w:bidi="ar"/>
              </w:rPr>
              <w:t>0.0</w:t>
            </w:r>
            <w:r>
              <w:rPr>
                <w:rFonts w:hint="default" w:ascii="Times New Roman" w:hAnsi="Times New Roman" w:eastAsia="宋体" w:cs="Times New Roman"/>
                <w:color w:val="000000"/>
                <w:kern w:val="0"/>
                <w:sz w:val="24"/>
                <w:szCs w:val="24"/>
                <w:lang w:val="en-US" w:eastAsia="zh-CN" w:bidi="ar"/>
              </w:rPr>
              <w:t>02</w:t>
            </w:r>
          </w:p>
        </w:tc>
      </w:tr>
      <w:tr w14:paraId="28D5B887">
        <w:tblPrEx>
          <w:tblCellMar>
            <w:top w:w="0" w:type="dxa"/>
            <w:left w:w="108" w:type="dxa"/>
            <w:bottom w:w="0" w:type="dxa"/>
            <w:right w:w="108" w:type="dxa"/>
          </w:tblCellMar>
        </w:tblPrEx>
        <w:trPr>
          <w:trHeight w:val="42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1418">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测量重复性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BE92">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A</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EFC8">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0.03</w:t>
            </w:r>
          </w:p>
        </w:tc>
      </w:tr>
      <w:tr w14:paraId="5A988462">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EA09">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LED稳定性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330AF">
            <w:pPr>
              <w:widowControl/>
              <w:jc w:val="center"/>
              <w:textAlignment w:val="center"/>
              <w:rPr>
                <w:rFonts w:hint="default" w:ascii="Times New Roman" w:hAnsi="Times New Roman" w:eastAsia="宋体" w:cs="Times New Roman"/>
                <w:color w:val="000000"/>
                <w:kern w:val="0"/>
                <w:sz w:val="24"/>
                <w:szCs w:val="24"/>
                <w:lang w:eastAsia="zh-CN" w:bidi="ar"/>
              </w:rPr>
            </w:pPr>
            <w:r>
              <w:rPr>
                <w:rFonts w:hint="default" w:ascii="Times New Roman" w:hAnsi="Times New Roman" w:eastAsia="宋体" w:cs="Times New Roman"/>
                <w:color w:val="000000"/>
                <w:kern w:val="0"/>
                <w:sz w:val="24"/>
                <w:szCs w:val="24"/>
                <w:lang w:val="en-US" w:eastAsia="zh-CN"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AC7A">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0.5</w:t>
            </w:r>
          </w:p>
        </w:tc>
      </w:tr>
      <w:tr w14:paraId="480E863C">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B890E">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亮度计的非线性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B5AD">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94A7">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0.1</w:t>
            </w:r>
          </w:p>
        </w:tc>
      </w:tr>
      <w:tr w14:paraId="63E7E9B3">
        <w:tblPrEx>
          <w:tblCellMar>
            <w:top w:w="0" w:type="dxa"/>
            <w:left w:w="108" w:type="dxa"/>
            <w:bottom w:w="0" w:type="dxa"/>
            <w:right w:w="108" w:type="dxa"/>
          </w:tblCellMar>
        </w:tblPrEx>
        <w:trPr>
          <w:trHeight w:val="5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9525">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亮度计内部杂散光</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6951D">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704C">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0.3</w:t>
            </w:r>
          </w:p>
        </w:tc>
      </w:tr>
      <w:tr w14:paraId="65AC5E22">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6CEA">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测量距离</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34A2">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0CB5">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0.3</w:t>
            </w:r>
          </w:p>
        </w:tc>
      </w:tr>
      <w:tr w14:paraId="2E629010">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2B39">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显示屏像素点间距影响</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009F">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3C894">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0.1</w:t>
            </w:r>
          </w:p>
        </w:tc>
      </w:tr>
      <w:tr w14:paraId="6B8CDC43">
        <w:tblPrEx>
          <w:tblCellMar>
            <w:top w:w="0" w:type="dxa"/>
            <w:left w:w="108" w:type="dxa"/>
            <w:bottom w:w="0" w:type="dxa"/>
            <w:right w:w="108" w:type="dxa"/>
          </w:tblCellMar>
        </w:tblPrEx>
        <w:trPr>
          <w:trHeight w:val="288" w:hRule="atLeast"/>
          <w:jc w:val="center"/>
        </w:trPr>
        <w:tc>
          <w:tcPr>
            <w:tcW w:w="403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756E">
            <w:pPr>
              <w:widowControl/>
              <w:jc w:val="center"/>
              <w:textAlignment w:val="cente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color w:val="000000"/>
                <w:kern w:val="0"/>
                <w:sz w:val="24"/>
                <w:szCs w:val="24"/>
                <w:lang w:bidi="ar"/>
              </w:rPr>
              <w:t>标准不确定度</w:t>
            </w: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rel</m:t>
                  </m:r>
                  <m:ctrlPr>
                    <w:rPr>
                      <w:rFonts w:hint="default" w:ascii="Cambria Math" w:hAnsi="Cambria Math" w:eastAsia="宋体" w:cs="Times New Roman"/>
                      <w:i/>
                      <w:sz w:val="24"/>
                      <w:szCs w:val="24"/>
                    </w:rPr>
                  </m:ctrlPr>
                </m:sub>
              </m:sSub>
            </m:oMath>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B89A">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1.</w:t>
            </w:r>
            <w:r>
              <w:rPr>
                <w:rFonts w:hint="default" w:ascii="Times New Roman" w:hAnsi="Times New Roman" w:eastAsia="宋体" w:cs="Times New Roman"/>
                <w:color w:val="000000"/>
                <w:kern w:val="0"/>
                <w:sz w:val="24"/>
                <w:szCs w:val="24"/>
                <w:lang w:val="en-US" w:eastAsia="zh-CN" w:bidi="ar"/>
              </w:rPr>
              <w:t>2</w:t>
            </w:r>
            <w:r>
              <w:rPr>
                <w:rFonts w:hint="default" w:ascii="Times New Roman" w:hAnsi="Times New Roman" w:eastAsia="宋体" w:cs="Times New Roman"/>
                <w:color w:val="000000"/>
                <w:kern w:val="0"/>
                <w:sz w:val="24"/>
                <w:szCs w:val="24"/>
                <w:lang w:bidi="ar"/>
              </w:rPr>
              <w:t xml:space="preserve"> </w:t>
            </w:r>
          </w:p>
        </w:tc>
      </w:tr>
    </w:tbl>
    <w:p w14:paraId="3EA982BD">
      <w:pPr>
        <w:adjustRightInd w:val="0"/>
        <w:snapToGrid w:val="0"/>
        <w:jc w:val="both"/>
        <w:rPr>
          <w:rFonts w:hint="default" w:ascii="Times New Roman" w:hAnsi="Times New Roman" w:eastAsia="宋体" w:cs="Times New Roman"/>
          <w:i w:val="0"/>
          <w:kern w:val="2"/>
          <w:sz w:val="24"/>
          <w:szCs w:val="24"/>
          <w:lang w:val="en-US" w:eastAsia="zh-CN" w:bidi="ar-SA"/>
        </w:rPr>
      </w:pPr>
    </w:p>
    <w:p w14:paraId="42B99829">
      <w:pP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highlight w:val="none"/>
          <w:lang w:val="en-US" w:eastAsia="zh-CN"/>
        </w:rPr>
        <w:t>5 校准不确定度表达</w:t>
      </w:r>
    </w:p>
    <w:p w14:paraId="6238D7C8">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上述各不确定度来源独立，不相关。相对合成标准不确定度的计算公式简化为</w:t>
      </w:r>
    </w:p>
    <w:p w14:paraId="2FE1FC29">
      <w:pPr>
        <w:rPr>
          <w:rFonts w:hint="default" w:ascii="Times New Roman" w:hAnsi="Times New Roman" w:eastAsia="宋体" w:cs="Times New Roman"/>
          <w:sz w:val="24"/>
          <w:szCs w:val="24"/>
        </w:rPr>
      </w:pPr>
      <m:oMathPara>
        <m:oMathParaPr>
          <m:jc m:val="center"/>
        </m:oMathPara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sty m:val="p"/>
                </m:rPr>
                <w:rPr>
                  <w:rFonts w:hint="default" w:ascii="Cambria Math" w:hAnsi="Cambria Math" w:eastAsia="宋体" w:cs="Times New Roman"/>
                  <w:b w:val="0"/>
                  <w:i w:val="0"/>
                  <w:sz w:val="24"/>
                  <w:szCs w:val="24"/>
                </w:rPr>
                <m:t>c,rel</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nary>
                <m:naryPr>
                  <m:chr m:val="∑"/>
                  <m:limLoc m:val="undOvr"/>
                  <m:ctrlPr>
                    <w:rPr>
                      <w:rFonts w:hint="default" w:ascii="Cambria Math" w:hAnsi="Cambria Math" w:eastAsia="宋体" w:cs="Times New Roman"/>
                      <w:i/>
                      <w:sz w:val="24"/>
                      <w:szCs w:val="24"/>
                    </w:rPr>
                  </m:ctrlPr>
                </m:naryPr>
                <m:sub>
                  <m:r>
                    <m:rPr/>
                    <w:rPr>
                      <w:rFonts w:hint="default" w:ascii="Cambria Math" w:hAnsi="Cambria Math" w:eastAsia="宋体" w:cs="Times New Roman"/>
                      <w:sz w:val="24"/>
                      <w:szCs w:val="24"/>
                    </w:rPr>
                    <m:t>i=1</m:t>
                  </m:r>
                  <m:ctrlPr>
                    <w:rPr>
                      <w:rFonts w:hint="default" w:ascii="Cambria Math" w:hAnsi="Cambria Math" w:eastAsia="宋体" w:cs="Times New Roman"/>
                      <w:i/>
                      <w:sz w:val="24"/>
                      <w:szCs w:val="24"/>
                    </w:rPr>
                  </m:ctrlPr>
                </m:sub>
                <m:sup>
                  <m:r>
                    <m:rPr/>
                    <w:rPr>
                      <w:rFonts w:hint="default" w:ascii="Cambria Math" w:hAnsi="Cambria Math" w:eastAsia="宋体" w:cs="Times New Roman"/>
                      <w:sz w:val="24"/>
                      <w:szCs w:val="24"/>
                      <w:lang w:val="en-US" w:eastAsia="zh-CN"/>
                    </w:rPr>
                    <m:t>8</m:t>
                  </m:r>
                  <m:ctrlPr>
                    <w:rPr>
                      <w:rFonts w:hint="default" w:ascii="Cambria Math" w:hAnsi="Cambria Math" w:eastAsia="宋体" w:cs="Times New Roman"/>
                      <w:i/>
                      <w:sz w:val="24"/>
                      <w:szCs w:val="24"/>
                    </w:rPr>
                  </m:ctrlPr>
                </m:sup>
                <m:e>
                  <m:sSubSup>
                    <m:sSubSupPr>
                      <m:ctrlPr>
                        <w:rPr>
                          <w:rFonts w:hint="default" w:ascii="Cambria Math" w:hAnsi="Cambria Math" w:eastAsia="宋体" w:cs="Times New Roman"/>
                          <w:i/>
                          <w:sz w:val="24"/>
                          <w:szCs w:val="24"/>
                        </w:rPr>
                      </m:ctrlPr>
                    </m:sSubSup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sty m:val="p"/>
                        </m:rPr>
                        <w:rPr>
                          <w:rFonts w:hint="default" w:ascii="Cambria Math" w:hAnsi="Cambria Math" w:eastAsia="宋体" w:cs="Times New Roman"/>
                          <w:b w:val="0"/>
                          <w:i w:val="0"/>
                          <w:sz w:val="24"/>
                          <w:szCs w:val="24"/>
                        </w:rPr>
                        <m:t>rel,</m:t>
                      </m:r>
                      <m:r>
                        <m:rPr>
                          <m:nor/>
                        </m:rPr>
                        <w:rPr>
                          <w:rFonts w:hint="default" w:ascii="Cambria Math" w:hAnsi="Cambria Math" w:eastAsia="宋体" w:cs="Times New Roman"/>
                          <w:i/>
                          <w:iCs/>
                          <w:sz w:val="24"/>
                          <w:szCs w:val="24"/>
                        </w:rPr>
                        <m:t>i</m:t>
                      </m:r>
                      <m:ctrlPr>
                        <w:rPr>
                          <w:rFonts w:hint="default" w:ascii="Cambria Math" w:hAnsi="Cambria Math" w:eastAsia="宋体" w:cs="Times New Roman"/>
                          <w:sz w:val="24"/>
                          <w:szCs w:val="24"/>
                        </w:rPr>
                      </m:ctrlPr>
                    </m:sub>
                    <m:sup>
                      <m:r>
                        <m:rPr/>
                        <w:rPr>
                          <w:rFonts w:hint="default" w:ascii="Cambria Math" w:hAnsi="Cambria Math" w:eastAsia="宋体" w:cs="Times New Roman"/>
                          <w:sz w:val="24"/>
                          <w:szCs w:val="24"/>
                        </w:rPr>
                        <m:t>2</m:t>
                      </m:r>
                      <m:ctrlPr>
                        <w:rPr>
                          <w:rFonts w:hint="default" w:ascii="Cambria Math" w:hAnsi="Cambria Math" w:eastAsia="宋体" w:cs="Times New Roman"/>
                          <w:i/>
                          <w:sz w:val="24"/>
                          <w:szCs w:val="24"/>
                        </w:rPr>
                      </m:ctrlPr>
                    </m:sup>
                  </m:sSubSup>
                  <m:ctrlPr>
                    <w:rPr>
                      <w:rFonts w:hint="default" w:ascii="Cambria Math" w:hAnsi="Cambria Math" w:eastAsia="宋体" w:cs="Times New Roman"/>
                      <w:i/>
                      <w:sz w:val="24"/>
                      <w:szCs w:val="24"/>
                    </w:rPr>
                  </m:ctrlPr>
                </m:e>
              </m:nary>
              <m:ctrlPr>
                <w:rPr>
                  <w:rFonts w:hint="default" w:ascii="Cambria Math" w:hAnsi="Cambria Math" w:eastAsia="宋体" w:cs="Times New Roman"/>
                  <w:i/>
                  <w:sz w:val="24"/>
                  <w:szCs w:val="24"/>
                </w:rPr>
              </m:ctrlPr>
            </m:e>
          </m:rad>
          <m:r>
            <m:rPr>
              <m:sty m:val="p"/>
            </m:rPr>
            <w:rPr>
              <w:rFonts w:hint="default" w:ascii="Cambria Math" w:hAnsi="Cambria Math" w:eastAsia="宋体" w:cs="Times New Roman"/>
              <w:sz w:val="24"/>
              <w:szCs w:val="24"/>
            </w:rPr>
            <m:t xml:space="preserve"> =</m:t>
          </m:r>
          <m:r>
            <m:rPr>
              <m:sty m:val="p"/>
            </m:rPr>
            <w:rPr>
              <w:rFonts w:hint="default" w:ascii="Cambria Math" w:hAnsi="Cambria Math" w:eastAsia="宋体" w:cs="Times New Roman"/>
              <w:sz w:val="24"/>
              <w:szCs w:val="24"/>
              <w:lang w:val="en-US" w:eastAsia="zh-CN"/>
            </w:rPr>
            <m:t>1.2</m:t>
          </m:r>
          <m:r>
            <m:rPr>
              <m:sty m:val="p"/>
            </m:rPr>
            <w:rPr>
              <w:rFonts w:hint="default" w:ascii="Cambria Math" w:hAnsi="Cambria Math" w:eastAsia="宋体" w:cs="Times New Roman"/>
              <w:sz w:val="24"/>
              <w:szCs w:val="24"/>
            </w:rPr>
            <m:t>%</m:t>
          </m:r>
        </m:oMath>
      </m:oMathPara>
    </w:p>
    <w:p w14:paraId="5DD4EE64">
      <w:pPr>
        <w:rPr>
          <w:rFonts w:hint="default" w:ascii="Times New Roman" w:hAnsi="Times New Roman" w:eastAsia="宋体" w:cs="Times New Roman"/>
          <w:sz w:val="24"/>
          <w:szCs w:val="24"/>
        </w:rPr>
      </w:pPr>
    </w:p>
    <w:p w14:paraId="3E6E3112">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 xml:space="preserve">8.1.6 扩展不确定度的评定   </w:t>
      </w:r>
    </w:p>
    <w:p w14:paraId="4C3FFDBF">
      <w:pPr>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取包含因子</w:t>
      </w:r>
      <w:r>
        <w:rPr>
          <w:rFonts w:hint="default" w:ascii="Times New Roman" w:hAnsi="Times New Roman" w:eastAsia="宋体" w:cs="Times New Roman"/>
          <w:i/>
          <w:iCs/>
          <w:sz w:val="24"/>
          <w:szCs w:val="24"/>
        </w:rPr>
        <w:t>k</w:t>
      </w:r>
      <w:r>
        <w:rPr>
          <w:rFonts w:hint="default" w:ascii="Times New Roman" w:hAnsi="Times New Roman" w:eastAsia="宋体" w:cs="Times New Roman"/>
          <w:sz w:val="24"/>
          <w:szCs w:val="24"/>
        </w:rPr>
        <w:t>=2，则扩展不确定度为</w:t>
      </w:r>
    </w:p>
    <w:p w14:paraId="35588DAB">
      <w:pPr>
        <w:ind w:firstLine="420"/>
        <w:jc w:val="center"/>
        <w:rPr>
          <w:rFonts w:hint="default" w:ascii="Times New Roman" w:hAnsi="Times New Roman" w:eastAsia="宋体" w:cs="Times New Roman"/>
          <w:i w:val="0"/>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sty m:val="p"/>
              </m:rPr>
              <w:rPr>
                <w:rFonts w:hint="default" w:ascii="Cambria Math" w:hAnsi="Cambria Math" w:eastAsia="宋体" w:cs="Times New Roman"/>
                <w:b w:val="0"/>
                <w:i w:val="0"/>
                <w:sz w:val="24"/>
                <w:szCs w:val="24"/>
              </w:rPr>
              <m:t>rel</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1.2</m:t>
        </m:r>
        <m:r>
          <m:rPr/>
          <w:rPr>
            <w:rFonts w:hint="default" w:ascii="Cambria Math" w:hAnsi="Cambria Math" w:eastAsia="宋体" w:cs="Times New Roman"/>
            <w:sz w:val="24"/>
            <w:szCs w:val="24"/>
          </w:rPr>
          <m:t>%×2=</m:t>
        </m:r>
        <m:r>
          <m:rPr/>
          <w:rPr>
            <w:rFonts w:hint="default" w:ascii="Cambria Math" w:hAnsi="Cambria Math" w:eastAsia="宋体" w:cs="Times New Roman"/>
            <w:sz w:val="24"/>
            <w:szCs w:val="24"/>
            <w:lang w:val="en-US" w:eastAsia="zh-CN"/>
          </w:rPr>
          <m:t>2.4</m:t>
        </m:r>
        <m:r>
          <m:rPr/>
          <w:rPr>
            <w:rFonts w:hint="default" w:ascii="Cambria Math" w:hAnsi="Cambria Math" w:eastAsia="宋体" w:cs="Times New Roman"/>
            <w:sz w:val="24"/>
            <w:szCs w:val="24"/>
          </w:rPr>
          <m:t>%</m:t>
        </m:r>
      </m:oMath>
      <w:r>
        <w:rPr>
          <w:rFonts w:hint="default" w:ascii="Times New Roman" w:hAnsi="Times New Roman" w:eastAsia="宋体" w:cs="Times New Roman"/>
          <w:sz w:val="24"/>
          <w:szCs w:val="24"/>
        </w:rPr>
        <w:t xml:space="preserve"> </w:t>
      </w:r>
      <m:oMath>
        <m:r>
          <m:rPr>
            <m:nor/>
            <m:sty m:val="p"/>
          </m:rPr>
          <w:rPr>
            <w:rFonts w:hint="default" w:ascii="Cambria Math" w:hAnsi="Cambria Math" w:eastAsia="宋体" w:cs="Times New Roman"/>
            <w:b w:val="0"/>
            <w:i w:val="0"/>
            <w:sz w:val="24"/>
            <w:szCs w:val="24"/>
          </w:rPr>
          <m:t>(</m:t>
        </m:r>
        <m:r>
          <m:rPr/>
          <w:rPr>
            <w:rFonts w:hint="default" w:ascii="Cambria Math" w:hAnsi="Cambria Math" w:eastAsia="宋体" w:cs="Times New Roman"/>
            <w:sz w:val="24"/>
            <w:szCs w:val="24"/>
          </w:rPr>
          <m:t>k</m:t>
        </m:r>
        <m:r>
          <m:rPr>
            <m:nor/>
            <m:sty m:val="p"/>
          </m:rPr>
          <w:rPr>
            <w:rFonts w:hint="default" w:ascii="Cambria Math" w:hAnsi="Cambria Math" w:eastAsia="宋体" w:cs="Times New Roman"/>
            <w:b w:val="0"/>
            <w:i w:val="0"/>
            <w:sz w:val="24"/>
            <w:szCs w:val="24"/>
          </w:rPr>
          <m:t>=2)</m:t>
        </m:r>
      </m:oMath>
    </w:p>
    <w:p w14:paraId="1EA5421A">
      <w:pPr>
        <w:adjustRightInd w:val="0"/>
        <w:snapToGrid w:val="0"/>
        <w:jc w:val="both"/>
        <w:rPr>
          <w:rFonts w:hint="default" w:ascii="Times New Roman" w:hAnsi="Times New Roman" w:eastAsia="宋体" w:cs="Times New Roman"/>
          <w:i w:val="0"/>
          <w:kern w:val="2"/>
          <w:sz w:val="24"/>
          <w:szCs w:val="24"/>
          <w:lang w:val="en-US" w:eastAsia="zh-CN" w:bidi="ar-SA"/>
        </w:rPr>
      </w:pPr>
    </w:p>
    <w:p w14:paraId="790C9222">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 色品坐标不确定度评定示例</w:t>
      </w:r>
    </w:p>
    <w:p w14:paraId="2CEFDE0D">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8.2.1 色品坐标测量模型</w:t>
      </w:r>
    </w:p>
    <w:p w14:paraId="40C9390B">
      <w:pPr>
        <w:pStyle w:val="2"/>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依据本规范，</w:t>
      </w:r>
      <w:r>
        <w:rPr>
          <w:rFonts w:hint="default" w:ascii="Times New Roman" w:hAnsi="Times New Roman" w:eastAsia="宋体" w:cs="Times New Roman"/>
          <w:sz w:val="24"/>
          <w:szCs w:val="24"/>
        </w:rPr>
        <w:t>色品坐标</w:t>
      </w:r>
      <w:r>
        <w:rPr>
          <w:rFonts w:hint="default" w:ascii="Times New Roman" w:hAnsi="Times New Roman" w:eastAsia="宋体" w:cs="Times New Roman"/>
          <w:sz w:val="24"/>
          <w:szCs w:val="24"/>
          <w:lang w:val="en-US" w:eastAsia="zh-CN"/>
        </w:rPr>
        <w:t>的测量不确定度由</w:t>
      </w:r>
      <w:r>
        <w:rPr>
          <w:rFonts w:hint="default" w:ascii="Times New Roman" w:hAnsi="Times New Roman" w:eastAsia="宋体" w:cs="Times New Roman"/>
          <w:sz w:val="24"/>
          <w:szCs w:val="24"/>
        </w:rPr>
        <w:t>光谱辐射亮度计</w:t>
      </w:r>
      <w:r>
        <w:rPr>
          <w:rFonts w:hint="default" w:ascii="Times New Roman" w:hAnsi="Times New Roman" w:eastAsia="宋体" w:cs="Times New Roman"/>
          <w:sz w:val="24"/>
          <w:szCs w:val="24"/>
          <w:lang w:val="en-US" w:eastAsia="zh-CN"/>
        </w:rPr>
        <w:t>定标和自身特性，以及显示屏颜色特性</w:t>
      </w:r>
      <w:r>
        <w:rPr>
          <w:rFonts w:hint="default" w:ascii="Times New Roman" w:hAnsi="Times New Roman" w:eastAsia="宋体" w:cs="Times New Roman"/>
          <w:sz w:val="24"/>
          <w:szCs w:val="24"/>
        </w:rPr>
        <w:t>决定。测量过程是使用光谱型辐射亮度计对显示屏目标区域采样并根据其相对光谱辐射亮度计算出色品坐标，在仪器上显示。</w:t>
      </w:r>
    </w:p>
    <w:p w14:paraId="029E3A3C">
      <w:pPr>
        <w:pStyle w:val="2"/>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根据光谱辐射亮度计的定标和测量规律，其测量模型公式是</w:t>
      </w:r>
    </w:p>
    <w:p w14:paraId="0B2CBE1B">
      <w:pPr>
        <w:pStyle w:val="2"/>
        <w:ind w:firstLine="480" w:firstLineChars="200"/>
        <w:rPr>
          <w:rFonts w:hint="default" w:ascii="Times New Roman" w:hAnsi="Times New Roman" w:eastAsia="宋体" w:cs="Times New Roman"/>
          <w:sz w:val="24"/>
          <w:szCs w:val="24"/>
        </w:rPr>
      </w:pPr>
      <m:oMathPara>
        <m:oMath>
          <m:r>
            <m:rPr/>
            <w:rPr>
              <w:rFonts w:hint="default" w:ascii="Cambria Math" w:hAnsi="Cambria Math" w:eastAsia="宋体" w:cs="Times New Roman"/>
              <w:sz w:val="24"/>
              <w:szCs w:val="24"/>
            </w:rPr>
            <m:t>x</m:t>
          </m:r>
          <m:r>
            <m:rPr>
              <m:sty m:val="p"/>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m:sty m:val="p"/>
            </m:rPr>
            <w:rPr>
              <w:rFonts w:hint="default" w:ascii="Cambria Math" w:hAnsi="Cambria Math" w:eastAsia="宋体" w:cs="Times New Roman"/>
              <w:sz w:val="24"/>
              <w:szCs w:val="24"/>
            </w:rPr>
            <m:t>+</m:t>
          </m:r>
          <m:nary>
            <m:naryPr>
              <m:chr m:val="∑"/>
              <m:limLoc m:val="undOvr"/>
              <m:ctrlPr>
                <w:rPr>
                  <w:rFonts w:hint="default" w:ascii="Cambria Math" w:hAnsi="Cambria Math" w:eastAsia="宋体" w:cs="Times New Roman"/>
                  <w:sz w:val="24"/>
                  <w:szCs w:val="24"/>
                </w:rPr>
              </m:ctrlPr>
            </m:naryPr>
            <m:sub>
              <m:r>
                <m:rPr>
                  <m:sty m:val="p"/>
                </m:rPr>
                <w:rPr>
                  <w:rFonts w:hint="default" w:ascii="Cambria Math" w:hAnsi="Cambria Math" w:eastAsia="宋体" w:cs="Times New Roman"/>
                  <w:sz w:val="24"/>
                  <w:szCs w:val="24"/>
                </w:rPr>
                <m:t>j=1</m:t>
              </m:r>
              <m:ctrlPr>
                <w:rPr>
                  <w:rFonts w:hint="default" w:ascii="Cambria Math" w:hAnsi="Cambria Math" w:eastAsia="宋体" w:cs="Times New Roman"/>
                  <w:sz w:val="24"/>
                  <w:szCs w:val="24"/>
                </w:rPr>
              </m:ctrlPr>
            </m:sub>
            <m:sup>
              <m:r>
                <m:rPr>
                  <m:sty m:val="p"/>
                </m:rPr>
                <w:rPr>
                  <w:rFonts w:hint="default" w:ascii="Cambria Math" w:hAnsi="Cambria Math" w:eastAsia="宋体" w:cs="Times New Roman"/>
                  <w:sz w:val="24"/>
                  <w:szCs w:val="24"/>
                </w:rPr>
                <m:t>q</m:t>
              </m:r>
              <m:ctrlPr>
                <w:rPr>
                  <w:rFonts w:hint="default" w:ascii="Cambria Math" w:hAnsi="Cambria Math" w:eastAsia="宋体" w:cs="Times New Roman"/>
                  <w:sz w:val="24"/>
                  <w:szCs w:val="24"/>
                </w:rPr>
              </m:ctrlPr>
            </m:sup>
            <m:e>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1, j</m:t>
                  </m:r>
                  <m:ctrlPr>
                    <w:rPr>
                      <w:rFonts w:hint="default" w:ascii="Cambria Math" w:hAnsi="Cambria Math" w:eastAsia="宋体" w:cs="Times New Roman"/>
                      <w:i/>
                      <w:sz w:val="24"/>
                      <w:szCs w:val="24"/>
                    </w:rPr>
                  </m:ctrlPr>
                </m:sub>
              </m:sSub>
              <m:ctrlPr>
                <w:rPr>
                  <w:rFonts w:hint="default" w:ascii="Cambria Math" w:hAnsi="Cambria Math" w:eastAsia="宋体" w:cs="Times New Roman"/>
                  <w:sz w:val="24"/>
                  <w:szCs w:val="24"/>
                </w:rPr>
              </m:ctrlPr>
            </m:e>
          </m:nary>
        </m:oMath>
      </m:oMathPara>
    </w:p>
    <w:p w14:paraId="4E85CF07">
      <w:pPr>
        <w:pStyle w:val="2"/>
        <w:ind w:firstLine="480" w:firstLineChars="200"/>
        <w:rPr>
          <w:rFonts w:hint="default" w:ascii="Times New Roman" w:hAnsi="Times New Roman" w:eastAsia="宋体" w:cs="Times New Roman"/>
          <w:sz w:val="24"/>
          <w:szCs w:val="24"/>
        </w:rPr>
      </w:pPr>
      <m:oMathPara>
        <m:oMath>
          <m:r>
            <m:rPr/>
            <w:rPr>
              <w:rFonts w:hint="default" w:ascii="Cambria Math" w:hAnsi="Cambria Math" w:eastAsia="宋体" w:cs="Times New Roman"/>
              <w:sz w:val="24"/>
              <w:szCs w:val="24"/>
            </w:rPr>
            <m:t>y</m:t>
          </m:r>
          <m:r>
            <m:rPr>
              <m:sty m:val="p"/>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m:sty m:val="p"/>
            </m:rPr>
            <w:rPr>
              <w:rFonts w:hint="default" w:ascii="Cambria Math" w:hAnsi="Cambria Math" w:eastAsia="宋体" w:cs="Times New Roman"/>
              <w:sz w:val="24"/>
              <w:szCs w:val="24"/>
            </w:rPr>
            <m:t>+</m:t>
          </m:r>
          <m:nary>
            <m:naryPr>
              <m:chr m:val="∑"/>
              <m:limLoc m:val="undOvr"/>
              <m:ctrlPr>
                <w:rPr>
                  <w:rFonts w:hint="default" w:ascii="Cambria Math" w:hAnsi="Cambria Math" w:eastAsia="宋体" w:cs="Times New Roman"/>
                  <w:sz w:val="24"/>
                  <w:szCs w:val="24"/>
                </w:rPr>
              </m:ctrlPr>
            </m:naryPr>
            <m:sub>
              <m:r>
                <m:rPr>
                  <m:sty m:val="p"/>
                </m:rPr>
                <w:rPr>
                  <w:rFonts w:hint="default" w:ascii="Cambria Math" w:hAnsi="Cambria Math" w:eastAsia="宋体" w:cs="Times New Roman"/>
                  <w:sz w:val="24"/>
                  <w:szCs w:val="24"/>
                </w:rPr>
                <m:t>j=1</m:t>
              </m:r>
              <m:ctrlPr>
                <w:rPr>
                  <w:rFonts w:hint="default" w:ascii="Cambria Math" w:hAnsi="Cambria Math" w:eastAsia="宋体" w:cs="Times New Roman"/>
                  <w:sz w:val="24"/>
                  <w:szCs w:val="24"/>
                </w:rPr>
              </m:ctrlPr>
            </m:sub>
            <m:sup>
              <m:r>
                <m:rPr>
                  <m:sty m:val="p"/>
                </m:rPr>
                <w:rPr>
                  <w:rFonts w:hint="default" w:ascii="Cambria Math" w:hAnsi="Cambria Math" w:eastAsia="宋体" w:cs="Times New Roman"/>
                  <w:sz w:val="24"/>
                  <w:szCs w:val="24"/>
                </w:rPr>
                <m:t>q</m:t>
              </m:r>
              <m:ctrlPr>
                <w:rPr>
                  <w:rFonts w:hint="default" w:ascii="Cambria Math" w:hAnsi="Cambria Math" w:eastAsia="宋体" w:cs="Times New Roman"/>
                  <w:sz w:val="24"/>
                  <w:szCs w:val="24"/>
                </w:rPr>
              </m:ctrlPr>
            </m:sup>
            <m:e>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2, j</m:t>
                  </m:r>
                  <m:ctrlPr>
                    <w:rPr>
                      <w:rFonts w:hint="default" w:ascii="Cambria Math" w:hAnsi="Cambria Math" w:eastAsia="宋体" w:cs="Times New Roman"/>
                      <w:i/>
                      <w:sz w:val="24"/>
                      <w:szCs w:val="24"/>
                    </w:rPr>
                  </m:ctrlPr>
                </m:sub>
              </m:sSub>
              <m:ctrlPr>
                <w:rPr>
                  <w:rFonts w:hint="default" w:ascii="Cambria Math" w:hAnsi="Cambria Math" w:eastAsia="宋体" w:cs="Times New Roman"/>
                  <w:sz w:val="24"/>
                  <w:szCs w:val="24"/>
                </w:rPr>
              </m:ctrlPr>
            </m:e>
          </m:nary>
        </m:oMath>
      </m:oMathPara>
    </w:p>
    <w:p w14:paraId="7E64195E">
      <w:pPr>
        <w:pStyle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式中，</w:t>
      </w:r>
      <w:r>
        <w:rPr>
          <w:rFonts w:hint="default" w:ascii="Times New Roman" w:hAnsi="Times New Roman" w:eastAsia="宋体" w:cs="Times New Roman"/>
          <w:sz w:val="24"/>
          <w:szCs w:val="24"/>
        </w:rPr>
        <w:tab/>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rPr>
        <w:t>——光谱辐射亮度计的色品坐标x读数；</w:t>
      </w:r>
    </w:p>
    <w:p w14:paraId="612E3A43">
      <w:pPr>
        <w:pStyle w:val="2"/>
        <w:ind w:left="840"/>
        <w:rPr>
          <w:rFonts w:hint="default" w:ascii="Times New Roman" w:hAnsi="Times New Roman" w:eastAsia="宋体" w:cs="Times New Roman"/>
          <w:sz w:val="24"/>
          <w:szCs w:val="24"/>
        </w:rPr>
      </w:pP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sz w:val="24"/>
          <w:szCs w:val="24"/>
        </w:rPr>
        <w:t>——光谱辐射亮度计的色品坐标y读数；</w:t>
      </w:r>
    </w:p>
    <w:p w14:paraId="457DF3C8">
      <w:pPr>
        <w:pStyle w:val="2"/>
        <w:ind w:left="840"/>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1,j</m:t>
            </m:r>
            <m:ctrlPr>
              <w:rPr>
                <w:rFonts w:hint="default" w:ascii="Cambria Math" w:hAnsi="Cambria Math" w:eastAsia="宋体" w:cs="Times New Roman"/>
                <w:i/>
                <w:sz w:val="24"/>
                <w:szCs w:val="24"/>
              </w:rPr>
            </m:ctrlPr>
          </m:sub>
        </m:sSub>
      </m:oMath>
      <w:r>
        <w:rPr>
          <w:rFonts w:hint="default" w:ascii="Times New Roman" w:hAnsi="Times New Roman" w:eastAsia="宋体" w:cs="Times New Roman"/>
          <w:sz w:val="24"/>
          <w:szCs w:val="24"/>
        </w:rPr>
        <w:t>——光谱辐射亮度计的色品坐标x的系列修正系数，分别是波长偏离、带宽、非线性、内部杂散光。本模型中该系数均取1（即不进行修正，但需考虑其不确定度的影响）</w:t>
      </w:r>
    </w:p>
    <w:p w14:paraId="0BFE1886">
      <w:pPr>
        <w:pStyle w:val="2"/>
        <w:ind w:left="840"/>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2,j</m:t>
            </m:r>
            <m:ctrlPr>
              <w:rPr>
                <w:rFonts w:hint="default" w:ascii="Cambria Math" w:hAnsi="Cambria Math" w:eastAsia="宋体" w:cs="Times New Roman"/>
                <w:i/>
                <w:sz w:val="24"/>
                <w:szCs w:val="24"/>
              </w:rPr>
            </m:ctrlPr>
          </m:sub>
        </m:sSub>
      </m:oMath>
      <w:r>
        <w:rPr>
          <w:rFonts w:hint="default" w:ascii="Times New Roman" w:hAnsi="Times New Roman" w:eastAsia="宋体" w:cs="Times New Roman"/>
          <w:sz w:val="24"/>
          <w:szCs w:val="24"/>
        </w:rPr>
        <w:t>——光谱辐射亮度计的色品坐标y的系列修正系数，分别是波长偏离、带宽、非线性、内部杂散光。本模型中该系数均取1（即不进行修正，但需考虑其不确定度的影响）</w:t>
      </w:r>
    </w:p>
    <w:p w14:paraId="2DFF907E">
      <w:pPr>
        <w:pStyle w:val="2"/>
        <w:ind w:left="840"/>
        <w:rPr>
          <w:rFonts w:hint="default" w:ascii="Times New Roman" w:hAnsi="Times New Roman" w:eastAsia="宋体" w:cs="Times New Roman"/>
          <w:sz w:val="24"/>
          <w:szCs w:val="24"/>
        </w:rPr>
      </w:pPr>
      <m:oMath>
        <m:r>
          <m:rPr/>
          <w:rPr>
            <w:rFonts w:hint="default" w:ascii="Cambria Math" w:hAnsi="Cambria Math" w:eastAsia="宋体" w:cs="Times New Roman"/>
            <w:sz w:val="24"/>
            <w:szCs w:val="24"/>
          </w:rPr>
          <m:t>q</m:t>
        </m:r>
      </m:oMath>
      <w:r>
        <w:rPr>
          <w:rFonts w:hint="default" w:ascii="Times New Roman" w:hAnsi="Times New Roman" w:eastAsia="宋体" w:cs="Times New Roman"/>
          <w:sz w:val="24"/>
          <w:szCs w:val="24"/>
        </w:rPr>
        <w:t>——光谱辐射亮度计的采用修正系数个数，本模型中是4个。</w:t>
      </w:r>
    </w:p>
    <w:p w14:paraId="2DF40176">
      <w:pPr>
        <w:adjustRightInd w:val="0"/>
        <w:snapToGrid w:val="0"/>
        <w:jc w:val="both"/>
        <w:rPr>
          <w:rFonts w:hint="default" w:ascii="Times New Roman" w:hAnsi="Times New Roman" w:eastAsia="宋体" w:cs="Times New Roman"/>
          <w:sz w:val="24"/>
          <w:szCs w:val="24"/>
          <w:lang w:val="en-US" w:eastAsia="zh-CN"/>
        </w:rPr>
      </w:pPr>
    </w:p>
    <w:p w14:paraId="4D890254">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8.2.2 色品坐标</w:t>
      </w:r>
      <m:oMath>
        <m:sSub>
          <m:sSubPr>
            <m:ctrlPr>
              <w:rPr>
                <w:rFonts w:hint="default" w:ascii="Cambria Math" w:hAnsi="Cambria Math" w:eastAsia="宋体" w:cs="Times New Roman"/>
                <w:i w:val="0"/>
                <w:kern w:val="2"/>
                <w:sz w:val="24"/>
                <w:szCs w:val="24"/>
                <w:lang w:val="en-US" w:eastAsia="zh-CN" w:bidi="ar-SA"/>
              </w:rPr>
            </m:ctrlPr>
          </m:sSubPr>
          <m:e>
            <m:r>
              <m:rPr>
                <m:sty m:val="p"/>
              </m:rPr>
              <w:rPr>
                <w:rFonts w:hint="default" w:ascii="Cambria Math" w:hAnsi="Cambria Math" w:eastAsia="宋体" w:cs="Times New Roman"/>
                <w:kern w:val="2"/>
                <w:sz w:val="24"/>
                <w:szCs w:val="24"/>
                <w:lang w:val="en-US" w:eastAsia="zh-CN" w:bidi="ar-SA"/>
              </w:rPr>
              <m:t>x</m:t>
            </m:r>
            <m:ctrlPr>
              <w:rPr>
                <w:rFonts w:hint="default" w:ascii="Cambria Math" w:hAnsi="Cambria Math" w:eastAsia="宋体" w:cs="Times New Roman"/>
                <w:i w:val="0"/>
                <w:kern w:val="2"/>
                <w:sz w:val="24"/>
                <w:szCs w:val="24"/>
                <w:lang w:val="en-US" w:eastAsia="zh-CN" w:bidi="ar-SA"/>
              </w:rPr>
            </m:ctrlPr>
          </m:e>
          <m:sub>
            <m:r>
              <m:rPr>
                <m:sty m:val="p"/>
              </m:rPr>
              <w:rPr>
                <w:rFonts w:hint="default" w:ascii="Cambria Math" w:hAnsi="Cambria Math" w:eastAsia="宋体" w:cs="Times New Roman"/>
                <w:kern w:val="2"/>
                <w:sz w:val="24"/>
                <w:szCs w:val="24"/>
                <w:lang w:val="en-US" w:eastAsia="zh-CN" w:bidi="ar-SA"/>
              </w:rPr>
              <m:t>0</m:t>
            </m:r>
            <m:ctrlPr>
              <w:rPr>
                <w:rFonts w:hint="default" w:ascii="Cambria Math" w:hAnsi="Cambria Math" w:eastAsia="宋体" w:cs="Times New Roman"/>
                <w:i w:val="0"/>
                <w:kern w:val="2"/>
                <w:sz w:val="24"/>
                <w:szCs w:val="24"/>
                <w:lang w:val="en-US" w:eastAsia="zh-CN" w:bidi="ar-SA"/>
              </w:rPr>
            </m:ctrlPr>
          </m:sub>
        </m:sSub>
      </m:oMath>
      <w:r>
        <w:rPr>
          <w:rFonts w:hint="default" w:ascii="Times New Roman" w:hAnsi="Times New Roman" w:eastAsia="宋体" w:cs="Times New Roman"/>
          <w:i w:val="0"/>
          <w:kern w:val="2"/>
          <w:sz w:val="24"/>
          <w:szCs w:val="24"/>
          <w:lang w:val="en-US" w:eastAsia="zh-CN" w:bidi="ar-SA"/>
        </w:rPr>
        <w:t>和</w:t>
      </w:r>
      <m:oMath>
        <m:sSub>
          <m:sSubPr>
            <m:ctrlPr>
              <w:rPr>
                <w:rFonts w:hint="default" w:ascii="Cambria Math" w:hAnsi="Cambria Math" w:eastAsia="宋体" w:cs="Times New Roman"/>
                <w:i w:val="0"/>
                <w:kern w:val="2"/>
                <w:sz w:val="24"/>
                <w:szCs w:val="24"/>
                <w:lang w:val="en-US" w:eastAsia="zh-CN" w:bidi="ar-SA"/>
              </w:rPr>
            </m:ctrlPr>
          </m:sSubPr>
          <m:e>
            <m:r>
              <m:rPr>
                <m:sty m:val="p"/>
              </m:rPr>
              <w:rPr>
                <w:rFonts w:hint="default" w:ascii="Cambria Math" w:hAnsi="Cambria Math" w:eastAsia="宋体" w:cs="Times New Roman"/>
                <w:kern w:val="2"/>
                <w:sz w:val="24"/>
                <w:szCs w:val="24"/>
                <w:lang w:val="en-US" w:eastAsia="zh-CN" w:bidi="ar-SA"/>
              </w:rPr>
              <m:t>y</m:t>
            </m:r>
            <m:ctrlPr>
              <w:rPr>
                <w:rFonts w:hint="default" w:ascii="Cambria Math" w:hAnsi="Cambria Math" w:eastAsia="宋体" w:cs="Times New Roman"/>
                <w:i w:val="0"/>
                <w:kern w:val="2"/>
                <w:sz w:val="24"/>
                <w:szCs w:val="24"/>
                <w:lang w:val="en-US" w:eastAsia="zh-CN" w:bidi="ar-SA"/>
              </w:rPr>
            </m:ctrlPr>
          </m:e>
          <m:sub>
            <m:r>
              <m:rPr>
                <m:sty m:val="p"/>
              </m:rPr>
              <w:rPr>
                <w:rFonts w:hint="default" w:ascii="Cambria Math" w:hAnsi="Cambria Math" w:eastAsia="宋体" w:cs="Times New Roman"/>
                <w:kern w:val="2"/>
                <w:sz w:val="24"/>
                <w:szCs w:val="24"/>
                <w:lang w:val="en-US" w:eastAsia="zh-CN" w:bidi="ar-SA"/>
              </w:rPr>
              <m:t>0</m:t>
            </m:r>
            <m:ctrlPr>
              <w:rPr>
                <w:rFonts w:hint="default" w:ascii="Cambria Math" w:hAnsi="Cambria Math" w:eastAsia="宋体" w:cs="Times New Roman"/>
                <w:i w:val="0"/>
                <w:kern w:val="2"/>
                <w:sz w:val="24"/>
                <w:szCs w:val="24"/>
                <w:lang w:val="en-US" w:eastAsia="zh-CN" w:bidi="ar-SA"/>
              </w:rPr>
            </m:ctrlPr>
          </m:sub>
        </m:sSub>
      </m:oMath>
      <w:r>
        <w:rPr>
          <w:rFonts w:hint="default" w:ascii="Times New Roman" w:hAnsi="Times New Roman" w:eastAsia="宋体" w:cs="Times New Roman"/>
          <w:i w:val="0"/>
          <w:kern w:val="2"/>
          <w:sz w:val="24"/>
          <w:szCs w:val="24"/>
          <w:lang w:val="en-US" w:eastAsia="zh-CN" w:bidi="ar-SA"/>
        </w:rPr>
        <w:t>的不确定度分量评定</w:t>
      </w:r>
    </w:p>
    <w:p w14:paraId="1325A5FF">
      <w:pP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sz w:val="24"/>
          <w:szCs w:val="24"/>
          <w:highlight w:val="none"/>
          <w:lang w:val="en-US" w:eastAsia="zh-CN"/>
        </w:rPr>
        <w:t>8.2</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highlight w:val="none"/>
          <w:lang w:val="en-US" w:eastAsia="zh-CN"/>
        </w:rPr>
        <w:t xml:space="preserve">2.1 </w:t>
      </w:r>
      <w:r>
        <w:rPr>
          <w:rFonts w:hint="default" w:ascii="Times New Roman" w:hAnsi="Times New Roman" w:eastAsia="宋体" w:cs="Times New Roman"/>
          <w:color w:val="000000"/>
          <w:kern w:val="0"/>
          <w:sz w:val="24"/>
          <w:szCs w:val="24"/>
          <w:lang w:bidi="ar"/>
        </w:rPr>
        <w:t>上级标准</w:t>
      </w:r>
    </w:p>
    <w:p w14:paraId="61DA19F5">
      <w:pPr>
        <w:ind w:firstLine="420" w:firstLineChars="0"/>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光谱辐射亮度计依据色温标准灯的光谱标定其相对光谱。根据色温标准灯2856 K，不确定度</w:t>
      </w:r>
      <w:r>
        <w:rPr>
          <w:rFonts w:hint="default" w:ascii="Times New Roman" w:hAnsi="Times New Roman" w:eastAsia="宋体" w:cs="Times New Roman"/>
          <w:i/>
          <w:iCs/>
          <w:color w:val="000000"/>
          <w:kern w:val="0"/>
          <w:sz w:val="24"/>
          <w:szCs w:val="24"/>
          <w:u w:val="none"/>
          <w:lang w:val="en-US" w:eastAsia="zh-CN" w:bidi="ar"/>
        </w:rPr>
        <w:t>U</w:t>
      </w:r>
      <w:r>
        <w:rPr>
          <w:rFonts w:hint="default" w:ascii="Times New Roman" w:hAnsi="Times New Roman" w:eastAsia="宋体" w:cs="Times New Roman"/>
          <w:color w:val="000000"/>
          <w:kern w:val="0"/>
          <w:sz w:val="24"/>
          <w:szCs w:val="24"/>
          <w:lang w:val="en-US" w:eastAsia="zh-CN" w:bidi="ar"/>
        </w:rPr>
        <w:t>=7 K，根据黑体轨迹计算出其色品坐标</w:t>
      </w:r>
      <w:r>
        <w:rPr>
          <w:rFonts w:hint="default" w:ascii="Times New Roman" w:hAnsi="Times New Roman" w:eastAsia="宋体" w:cs="Times New Roman"/>
          <w:i/>
          <w:iCs/>
          <w:color w:val="000000"/>
          <w:kern w:val="0"/>
          <w:sz w:val="24"/>
          <w:szCs w:val="24"/>
          <w:lang w:val="en-US" w:eastAsia="zh-CN" w:bidi="ar"/>
        </w:rPr>
        <w:t>x</w:t>
      </w:r>
      <w:r>
        <w:rPr>
          <w:rFonts w:hint="default" w:ascii="Times New Roman" w:hAnsi="Times New Roman" w:eastAsia="宋体" w:cs="Times New Roman"/>
          <w:color w:val="000000"/>
          <w:kern w:val="0"/>
          <w:sz w:val="24"/>
          <w:szCs w:val="24"/>
          <w:lang w:val="en-US" w:eastAsia="zh-CN" w:bidi="ar"/>
        </w:rPr>
        <w:t>和色品坐标</w:t>
      </w:r>
      <w:r>
        <w:rPr>
          <w:rFonts w:hint="default" w:ascii="Times New Roman" w:hAnsi="Times New Roman" w:eastAsia="宋体" w:cs="Times New Roman"/>
          <w:i/>
          <w:iCs/>
          <w:color w:val="000000"/>
          <w:kern w:val="0"/>
          <w:sz w:val="24"/>
          <w:szCs w:val="24"/>
          <w:lang w:val="en-US" w:eastAsia="zh-CN" w:bidi="ar"/>
        </w:rPr>
        <w:t>y</w:t>
      </w:r>
      <w:r>
        <w:rPr>
          <w:rFonts w:hint="default" w:ascii="Times New Roman" w:hAnsi="Times New Roman" w:eastAsia="宋体" w:cs="Times New Roman"/>
          <w:color w:val="000000"/>
          <w:kern w:val="0"/>
          <w:sz w:val="24"/>
          <w:szCs w:val="24"/>
          <w:lang w:val="en-US" w:eastAsia="zh-CN" w:bidi="ar"/>
        </w:rPr>
        <w:t>的偏差分布不大于0.000532和0.000155，考虑正态分布，计算时取其较大值作为不确定度分量，因此</w:t>
      </w:r>
    </w:p>
    <w:p w14:paraId="701FF80D">
      <w:pPr>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1</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rPr>
              <m:t>1</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0.000532</m:t>
            </m:r>
            <m:ctrlPr>
              <w:rPr>
                <w:rFonts w:hint="default" w:ascii="Cambria Math" w:hAnsi="Cambria Math" w:eastAsia="宋体" w:cs="Times New Roman"/>
                <w:i/>
                <w:sz w:val="24"/>
                <w:szCs w:val="24"/>
              </w:rPr>
            </m:ctrlPr>
          </m:num>
          <m:den>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lang w:val="en-US" w:eastAsia="zh-CN"/>
          </w:rPr>
          <m:t>=</m:t>
        </m:r>
      </m:oMath>
      <w:r>
        <w:rPr>
          <w:rFonts w:hint="default" w:ascii="Times New Roman" w:hAnsi="Times New Roman" w:eastAsia="宋体" w:cs="Times New Roman"/>
          <w:i w:val="0"/>
          <w:sz w:val="24"/>
          <w:szCs w:val="24"/>
          <w:lang w:val="en-US" w:eastAsia="zh-CN"/>
        </w:rPr>
        <w:t>0.00027</w:t>
      </w:r>
      <w:r>
        <w:rPr>
          <w:rFonts w:hint="default" w:ascii="Times New Roman" w:hAnsi="Times New Roman" w:eastAsia="宋体" w:cs="Times New Roman"/>
          <w:sz w:val="24"/>
          <w:szCs w:val="24"/>
        </w:rPr>
        <w:t>，B类方法评定。</w:t>
      </w:r>
    </w:p>
    <w:p w14:paraId="277A5F48">
      <w:pPr>
        <w:rPr>
          <w:rFonts w:hint="default" w:ascii="Times New Roman" w:hAnsi="Times New Roman" w:eastAsia="宋体" w:cs="Times New Roman"/>
          <w:color w:val="000000"/>
          <w:kern w:val="0"/>
          <w:sz w:val="24"/>
          <w:szCs w:val="24"/>
          <w:lang w:val="en-US" w:eastAsia="zh-CN" w:bidi="ar"/>
        </w:rPr>
      </w:pPr>
    </w:p>
    <w:p w14:paraId="3D887D55">
      <w:pP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8.2</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highlight w:val="none"/>
          <w:lang w:val="en-US" w:eastAsia="zh-CN"/>
        </w:rPr>
        <w:t>2.2 测量重复性</w:t>
      </w:r>
    </w:p>
    <w:p w14:paraId="2679A92F">
      <w:pPr>
        <w:ind w:firstLine="420" w:firstLineChars="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光谱辐射亮度计对Mini LED显示屏重复测量10次，色品坐标的结果是</w:t>
      </w:r>
    </w:p>
    <w:p w14:paraId="4B458241">
      <w:pPr>
        <w:pStyle w:val="3"/>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表 </w:t>
      </w:r>
      <w:r>
        <w:rPr>
          <w:rFonts w:hint="default" w:ascii="Times New Roman" w:hAnsi="Times New Roman" w:eastAsia="宋体" w:cs="Times New Roman"/>
          <w:sz w:val="24"/>
          <w:szCs w:val="24"/>
          <w:lang w:val="en-US" w:eastAsia="zh-CN"/>
        </w:rPr>
        <w:t>8.2测量重复性</w:t>
      </w:r>
      <w:r>
        <w:rPr>
          <w:rFonts w:hint="default" w:ascii="Times New Roman" w:hAnsi="Times New Roman" w:eastAsia="宋体" w:cs="Times New Roman"/>
          <w:sz w:val="24"/>
          <w:szCs w:val="24"/>
        </w:rPr>
        <w:t>结果</w:t>
      </w:r>
    </w:p>
    <w:tbl>
      <w:tblPr>
        <w:tblStyle w:val="4"/>
        <w:tblW w:w="49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44"/>
        <w:gridCol w:w="1551"/>
        <w:gridCol w:w="1712"/>
      </w:tblGrid>
      <w:tr w14:paraId="4719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29B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测量次数</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ED7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色品坐标x</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A5B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色品坐标y</w:t>
            </w:r>
          </w:p>
        </w:tc>
      </w:tr>
      <w:tr w14:paraId="53BAF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14F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93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844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70F86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8AD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22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5E7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0.3191</w:t>
            </w:r>
          </w:p>
        </w:tc>
      </w:tr>
      <w:tr w14:paraId="2CAEE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DBC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C38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9D6A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0C75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71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2B4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00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0.3191</w:t>
            </w:r>
          </w:p>
        </w:tc>
      </w:tr>
      <w:tr w14:paraId="4684B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243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0B4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562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0.3191</w:t>
            </w:r>
          </w:p>
        </w:tc>
      </w:tr>
      <w:tr w14:paraId="49D9D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CA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F6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2C1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4B23E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BC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8AC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63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7766A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C27B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77E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B6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3CBD0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CE3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167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0.3002</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4BA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0.3191</w:t>
            </w:r>
          </w:p>
        </w:tc>
      </w:tr>
      <w:tr w14:paraId="357BD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964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60D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22B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0.3192</w:t>
            </w:r>
          </w:p>
        </w:tc>
      </w:tr>
      <w:tr w14:paraId="11FD4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C8E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平均值</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51C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0.30033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F86B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0.31916</w:t>
            </w:r>
          </w:p>
        </w:tc>
      </w:tr>
      <w:tr w14:paraId="3452D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20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实验标准偏差</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27E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0.00007 </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93C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0.00005 </w:t>
            </w:r>
          </w:p>
        </w:tc>
      </w:tr>
    </w:tbl>
    <w:p w14:paraId="5604620D">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使用贝塞尔公式计算的光通量常数平均值的相对实验室标准差，用A类方法评定</w:t>
      </w:r>
      <w:r>
        <w:rPr>
          <w:rFonts w:hint="default" w:ascii="Times New Roman" w:hAnsi="Times New Roman" w:eastAsia="宋体" w:cs="Times New Roman"/>
          <w:sz w:val="24"/>
          <w:szCs w:val="24"/>
          <w:lang w:val="en-US" w:eastAsia="zh-CN"/>
        </w:rPr>
        <w:t>色品坐标</w:t>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i w:val="0"/>
          <w:sz w:val="24"/>
          <w:szCs w:val="24"/>
          <w:lang w:val="en-US" w:eastAsia="zh-CN"/>
        </w:rPr>
        <w:t>和</w:t>
      </w:r>
      <m:oMath>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oMath>
      <w:r>
        <w:rPr>
          <w:rFonts w:hint="default" w:ascii="Times New Roman" w:hAnsi="Times New Roman" w:eastAsia="宋体" w:cs="Times New Roman"/>
          <w:i w:val="0"/>
          <w:sz w:val="24"/>
          <w:szCs w:val="24"/>
          <w:lang w:val="en-US" w:eastAsia="zh-CN"/>
        </w:rPr>
        <w:t>读数</w:t>
      </w:r>
      <w:r>
        <w:rPr>
          <w:rFonts w:hint="default" w:ascii="Times New Roman" w:hAnsi="Times New Roman" w:eastAsia="宋体" w:cs="Times New Roman"/>
          <w:sz w:val="24"/>
          <w:szCs w:val="24"/>
        </w:rPr>
        <w:t>的</w:t>
      </w:r>
      <w:r>
        <w:rPr>
          <w:rFonts w:hint="default" w:ascii="Times New Roman" w:hAnsi="Times New Roman" w:eastAsia="宋体" w:cs="Times New Roman"/>
          <w:sz w:val="24"/>
          <w:szCs w:val="24"/>
          <w:lang w:val="en-US" w:eastAsia="zh-CN"/>
        </w:rPr>
        <w:t>重复性影响，并取其较大值作</w:t>
      </w:r>
      <w:r>
        <w:rPr>
          <w:rFonts w:hint="default" w:ascii="Times New Roman" w:hAnsi="Times New Roman" w:eastAsia="宋体" w:cs="Times New Roman"/>
          <w:sz w:val="24"/>
          <w:szCs w:val="24"/>
        </w:rPr>
        <w:t>为标准不确定度</w:t>
      </w:r>
    </w:p>
    <w:p w14:paraId="26059DAD">
      <w:pPr>
        <w:ind w:firstLine="480" w:firstLineChars="20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=0.00007</m:t>
        </m:r>
      </m:oMath>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类方法评定。</w:t>
      </w:r>
    </w:p>
    <w:p w14:paraId="07FBB768">
      <w:pPr>
        <w:adjustRightInd w:val="0"/>
        <w:snapToGrid w:val="0"/>
        <w:jc w:val="both"/>
        <w:rPr>
          <w:rFonts w:hint="default" w:ascii="Times New Roman" w:hAnsi="Times New Roman" w:eastAsia="宋体" w:cs="Times New Roman"/>
          <w:sz w:val="24"/>
          <w:szCs w:val="24"/>
          <w:lang w:val="en-US" w:eastAsia="zh-CN"/>
        </w:rPr>
      </w:pPr>
    </w:p>
    <w:p w14:paraId="07807CD2">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8.2.2.3 LED显示屏的短期复现性</w:t>
      </w:r>
    </w:p>
    <w:p w14:paraId="55881E87">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Mini LED显示屏</w:t>
      </w:r>
      <w:r>
        <w:rPr>
          <w:rFonts w:hint="default" w:ascii="Times New Roman" w:hAnsi="Times New Roman" w:eastAsia="宋体" w:cs="Times New Roman"/>
          <w:sz w:val="24"/>
          <w:szCs w:val="24"/>
        </w:rPr>
        <w:t>在重复点燃，</w:t>
      </w:r>
      <w:r>
        <w:rPr>
          <w:rFonts w:hint="default" w:ascii="Times New Roman" w:hAnsi="Times New Roman" w:eastAsia="宋体" w:cs="Times New Roman"/>
          <w:sz w:val="24"/>
          <w:szCs w:val="24"/>
          <w:lang w:val="en-US" w:eastAsia="zh-CN"/>
        </w:rPr>
        <w:t>受环境温度和自身重复性等因素影响，</w:t>
      </w:r>
      <w:r>
        <w:rPr>
          <w:rFonts w:hint="default" w:ascii="Times New Roman" w:hAnsi="Times New Roman" w:eastAsia="宋体" w:cs="Times New Roman"/>
          <w:sz w:val="24"/>
          <w:szCs w:val="24"/>
        </w:rPr>
        <w:t>其实际</w:t>
      </w:r>
      <w:r>
        <w:rPr>
          <w:rFonts w:hint="default" w:ascii="Times New Roman" w:hAnsi="Times New Roman" w:eastAsia="宋体" w:cs="Times New Roman"/>
          <w:sz w:val="24"/>
          <w:szCs w:val="24"/>
          <w:lang w:val="en-US" w:eastAsia="zh-CN"/>
        </w:rPr>
        <w:t>色品坐标值</w:t>
      </w:r>
      <w:r>
        <w:rPr>
          <w:rFonts w:hint="default" w:ascii="Times New Roman" w:hAnsi="Times New Roman" w:eastAsia="宋体" w:cs="Times New Roman"/>
          <w:sz w:val="24"/>
          <w:szCs w:val="24"/>
        </w:rPr>
        <w:t>有一定起伏，根据经验，对于被测灯，其量值变化范围不超过</w:t>
      </w:r>
      <w:r>
        <w:rPr>
          <w:rFonts w:hint="default" w:ascii="Times New Roman" w:hAnsi="Times New Roman" w:eastAsia="宋体" w:cs="Times New Roman"/>
          <w:sz w:val="24"/>
          <w:szCs w:val="24"/>
          <w:lang w:val="en-US" w:eastAsia="zh-CN"/>
        </w:rPr>
        <w:t>±0.0010</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假设其</w:t>
      </w:r>
      <w:r>
        <w:rPr>
          <w:rFonts w:hint="default" w:ascii="Times New Roman" w:hAnsi="Times New Roman" w:eastAsia="宋体" w:cs="Times New Roman"/>
          <w:sz w:val="24"/>
          <w:szCs w:val="24"/>
        </w:rPr>
        <w:t>均匀分布</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复现性</w:t>
      </w:r>
      <w:r>
        <w:rPr>
          <w:rFonts w:hint="default" w:ascii="Times New Roman" w:hAnsi="Times New Roman" w:eastAsia="宋体" w:cs="Times New Roman"/>
          <w:sz w:val="24"/>
          <w:szCs w:val="24"/>
        </w:rPr>
        <w:t>引入的不确定度是</w:t>
      </w:r>
    </w:p>
    <w:p w14:paraId="7C9A0B94">
      <w:pPr>
        <w:ind w:left="420"/>
        <w:jc w:val="center"/>
        <w:rPr>
          <w:rFonts w:hint="default" w:ascii="Times New Roman" w:hAnsi="Times New Roman" w:eastAsia="宋体" w:cs="Times New Roman"/>
          <w:sz w:val="24"/>
          <w:szCs w:val="24"/>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rPr>
              <m:t>x</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eastAsia="宋体" w:cs="Times New Roman"/>
                <w:sz w:val="24"/>
                <w:szCs w:val="24"/>
                <w:lang w:val="en-US" w:eastAsia="zh-CN"/>
              </w:rPr>
              <m:t>y</m:t>
            </m:r>
            <m:ctrlPr>
              <w:rPr>
                <w:rFonts w:hint="default" w:ascii="Cambria Math" w:hAnsi="Cambria Math" w:eastAsia="宋体" w:cs="Times New Roman"/>
                <w:sz w:val="24"/>
                <w:szCs w:val="24"/>
              </w:rPr>
            </m:ctrlPr>
          </m:e>
          <m:sub>
            <m:r>
              <m:rPr>
                <m:sty m:val="p"/>
              </m:rPr>
              <w:rPr>
                <w:rFonts w:hint="default" w:ascii="Cambria Math" w:hAnsi="Cambria Math" w:eastAsia="宋体" w:cs="Times New Roman"/>
                <w:sz w:val="24"/>
                <w:szCs w:val="24"/>
              </w:rPr>
              <m:t>0</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f>
          <m:fPr>
            <m:ctrlPr>
              <w:rPr>
                <w:rFonts w:hint="default" w:ascii="Cambria Math" w:hAnsi="Cambria Math" w:eastAsia="宋体" w:cs="Times New Roman"/>
                <w:i/>
                <w:sz w:val="24"/>
                <w:szCs w:val="24"/>
              </w:rPr>
            </m:ctrlPr>
          </m:fPr>
          <m:num>
            <m:r>
              <m:rPr/>
              <w:rPr>
                <w:rFonts w:hint="default" w:ascii="Cambria Math" w:hAnsi="Cambria Math" w:eastAsia="宋体" w:cs="Times New Roman"/>
                <w:sz w:val="24"/>
                <w:szCs w:val="24"/>
                <w:lang w:val="en-US" w:eastAsia="zh-CN"/>
              </w:rPr>
              <m:t>0.0010</m:t>
            </m:r>
            <m:ctrlPr>
              <w:rPr>
                <w:rFonts w:hint="default" w:ascii="Cambria Math" w:hAnsi="Cambria Math" w:eastAsia="宋体" w:cs="Times New Roman"/>
                <w:i/>
                <w:sz w:val="24"/>
                <w:szCs w:val="24"/>
              </w:rPr>
            </m:ctrlPr>
          </m:num>
          <m:den>
            <m:rad>
              <m:radPr>
                <m:degHide m:val="1"/>
                <m:ctrlPr>
                  <w:rPr>
                    <w:rFonts w:hint="default" w:ascii="Cambria Math" w:hAnsi="Cambria Math" w:eastAsia="宋体" w:cs="Times New Roman"/>
                    <w:sz w:val="24"/>
                    <w:szCs w:val="24"/>
                  </w:rPr>
                </m:ctrlPr>
              </m:radPr>
              <m:deg>
                <m:ctrlPr>
                  <w:rPr>
                    <w:rFonts w:hint="default" w:ascii="Cambria Math" w:hAnsi="Cambria Math" w:eastAsia="宋体" w:cs="Times New Roman"/>
                    <w:sz w:val="24"/>
                    <w:szCs w:val="24"/>
                  </w:rPr>
                </m:ctrlPr>
              </m:deg>
              <m:e>
                <m:r>
                  <m:rPr>
                    <m:sty m:val="p"/>
                  </m:rPr>
                  <w:rPr>
                    <w:rFonts w:hint="default" w:ascii="Cambria Math" w:hAnsi="Cambria Math" w:eastAsia="宋体" w:cs="Times New Roman"/>
                    <w:sz w:val="24"/>
                    <w:szCs w:val="24"/>
                  </w:rPr>
                  <m:t>3</m:t>
                </m:r>
                <m:ctrlPr>
                  <w:rPr>
                    <w:rFonts w:hint="default" w:ascii="Cambria Math" w:hAnsi="Cambria Math" w:eastAsia="宋体" w:cs="Times New Roman"/>
                    <w:sz w:val="24"/>
                    <w:szCs w:val="24"/>
                  </w:rPr>
                </m:ctrlPr>
              </m:e>
            </m:rad>
            <m:ctrlPr>
              <w:rPr>
                <w:rFonts w:hint="default" w:ascii="Cambria Math" w:hAnsi="Cambria Math" w:eastAsia="宋体" w:cs="Times New Roman"/>
                <w:i/>
                <w:sz w:val="24"/>
                <w:szCs w:val="24"/>
              </w:rPr>
            </m:ctrlPr>
          </m:den>
        </m:f>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0.0006</m:t>
        </m:r>
      </m:oMath>
      <w:r>
        <w:rPr>
          <w:rFonts w:hint="default" w:ascii="Times New Roman" w:hAnsi="Times New Roman" w:eastAsia="宋体" w:cs="Times New Roman"/>
          <w:sz w:val="24"/>
          <w:szCs w:val="24"/>
        </w:rPr>
        <w:t>，B类方法评定。</w:t>
      </w:r>
    </w:p>
    <w:p w14:paraId="573249D9">
      <w:pPr>
        <w:adjustRightInd w:val="0"/>
        <w:snapToGrid w:val="0"/>
        <w:ind w:firstLine="420" w:firstLineChars="0"/>
        <w:jc w:val="both"/>
        <w:rPr>
          <w:rFonts w:hint="default" w:ascii="Times New Roman" w:hAnsi="Times New Roman" w:eastAsia="宋体" w:cs="Times New Roman"/>
          <w:sz w:val="24"/>
          <w:szCs w:val="24"/>
          <w:lang w:val="en-US" w:eastAsia="zh-CN"/>
        </w:rPr>
      </w:pPr>
    </w:p>
    <w:p w14:paraId="70E9F812">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8.2.3 色品坐标修正量</w:t>
      </w:r>
      <m:oMath>
        <m:sSub>
          <m:sSubPr>
            <m:ctrlPr>
              <w:rPr>
                <w:rFonts w:hint="default" w:ascii="Cambria Math" w:hAnsi="Cambria Math" w:eastAsia="宋体" w:cs="Times New Roman"/>
                <w:i w:val="0"/>
                <w:kern w:val="2"/>
                <w:sz w:val="24"/>
                <w:szCs w:val="24"/>
                <w:lang w:val="en-US" w:eastAsia="zh-CN" w:bidi="ar-SA"/>
              </w:rPr>
            </m:ctrlPr>
          </m:sSubPr>
          <m:e>
            <m:r>
              <m:rPr>
                <m:sty m:val="p"/>
              </m:rPr>
              <w:rPr>
                <w:rFonts w:hint="default" w:ascii="Cambria Math" w:hAnsi="Cambria Math" w:eastAsia="宋体" w:cs="Times New Roman"/>
                <w:kern w:val="2"/>
                <w:sz w:val="24"/>
                <w:szCs w:val="24"/>
                <w:lang w:val="en-US" w:eastAsia="zh-CN" w:bidi="ar-SA"/>
              </w:rPr>
              <m:t>c</m:t>
            </m:r>
            <m:ctrlPr>
              <w:rPr>
                <w:rFonts w:hint="default" w:ascii="Cambria Math" w:hAnsi="Cambria Math" w:eastAsia="宋体" w:cs="Times New Roman"/>
                <w:i w:val="0"/>
                <w:kern w:val="2"/>
                <w:sz w:val="24"/>
                <w:szCs w:val="24"/>
                <w:lang w:val="en-US" w:eastAsia="zh-CN" w:bidi="ar-SA"/>
              </w:rPr>
            </m:ctrlPr>
          </m:e>
          <m:sub>
            <m:r>
              <m:rPr>
                <m:sty m:val="p"/>
              </m:rPr>
              <w:rPr>
                <w:rFonts w:hint="default" w:ascii="Cambria Math" w:hAnsi="Cambria Math" w:eastAsia="宋体" w:cs="Times New Roman"/>
                <w:kern w:val="2"/>
                <w:sz w:val="24"/>
                <w:szCs w:val="24"/>
                <w:lang w:val="en-US" w:eastAsia="zh-CN" w:bidi="ar-SA"/>
              </w:rPr>
              <m:t>1, j</m:t>
            </m:r>
            <m:ctrlPr>
              <w:rPr>
                <w:rFonts w:hint="default" w:ascii="Cambria Math" w:hAnsi="Cambria Math" w:eastAsia="宋体" w:cs="Times New Roman"/>
                <w:i w:val="0"/>
                <w:kern w:val="2"/>
                <w:sz w:val="24"/>
                <w:szCs w:val="24"/>
                <w:lang w:val="en-US" w:eastAsia="zh-CN" w:bidi="ar-SA"/>
              </w:rPr>
            </m:ctrlPr>
          </m:sub>
        </m:sSub>
      </m:oMath>
      <w:r>
        <w:rPr>
          <w:rFonts w:hint="default" w:ascii="Times New Roman" w:hAnsi="Times New Roman" w:eastAsia="宋体" w:cs="Times New Roman"/>
          <w:i w:val="0"/>
          <w:kern w:val="2"/>
          <w:sz w:val="24"/>
          <w:szCs w:val="24"/>
          <w:lang w:val="en-US" w:eastAsia="zh-CN" w:bidi="ar-SA"/>
        </w:rPr>
        <w:t>和</w:t>
      </w:r>
      <m:oMath>
        <m:sSub>
          <m:sSubPr>
            <m:ctrlPr>
              <w:rPr>
                <w:rFonts w:hint="default" w:ascii="Cambria Math" w:hAnsi="Cambria Math" w:eastAsia="宋体" w:cs="Times New Roman"/>
                <w:i w:val="0"/>
                <w:kern w:val="2"/>
                <w:sz w:val="24"/>
                <w:szCs w:val="24"/>
                <w:lang w:val="en-US" w:eastAsia="zh-CN" w:bidi="ar-SA"/>
              </w:rPr>
            </m:ctrlPr>
          </m:sSubPr>
          <m:e>
            <m:r>
              <m:rPr>
                <m:sty m:val="p"/>
              </m:rPr>
              <w:rPr>
                <w:rFonts w:hint="default" w:ascii="Cambria Math" w:hAnsi="Cambria Math" w:eastAsia="宋体" w:cs="Times New Roman"/>
                <w:kern w:val="2"/>
                <w:sz w:val="24"/>
                <w:szCs w:val="24"/>
                <w:lang w:val="en-US" w:eastAsia="zh-CN" w:bidi="ar-SA"/>
              </w:rPr>
              <m:t>c</m:t>
            </m:r>
            <m:ctrlPr>
              <w:rPr>
                <w:rFonts w:hint="default" w:ascii="Cambria Math" w:hAnsi="Cambria Math" w:eastAsia="宋体" w:cs="Times New Roman"/>
                <w:i w:val="0"/>
                <w:kern w:val="2"/>
                <w:sz w:val="24"/>
                <w:szCs w:val="24"/>
                <w:lang w:val="en-US" w:eastAsia="zh-CN" w:bidi="ar-SA"/>
              </w:rPr>
            </m:ctrlPr>
          </m:e>
          <m:sub>
            <m:r>
              <m:rPr>
                <m:sty m:val="p"/>
              </m:rPr>
              <w:rPr>
                <w:rFonts w:hint="default" w:ascii="Cambria Math" w:hAnsi="Cambria Math" w:eastAsia="宋体" w:cs="Times New Roman"/>
                <w:kern w:val="2"/>
                <w:sz w:val="24"/>
                <w:szCs w:val="24"/>
                <w:lang w:val="en-US" w:eastAsia="zh-CN" w:bidi="ar-SA"/>
              </w:rPr>
              <m:t>2, j</m:t>
            </m:r>
            <m:ctrlPr>
              <w:rPr>
                <w:rFonts w:hint="default" w:ascii="Cambria Math" w:hAnsi="Cambria Math" w:eastAsia="宋体" w:cs="Times New Roman"/>
                <w:i w:val="0"/>
                <w:kern w:val="2"/>
                <w:sz w:val="24"/>
                <w:szCs w:val="24"/>
                <w:lang w:val="en-US" w:eastAsia="zh-CN" w:bidi="ar-SA"/>
              </w:rPr>
            </m:ctrlPr>
          </m:sub>
        </m:sSub>
      </m:oMath>
      <w:r>
        <w:rPr>
          <w:rFonts w:hint="default" w:ascii="Times New Roman" w:hAnsi="Times New Roman" w:eastAsia="宋体" w:cs="Times New Roman"/>
          <w:i w:val="0"/>
          <w:kern w:val="2"/>
          <w:sz w:val="24"/>
          <w:szCs w:val="24"/>
          <w:lang w:val="en-US" w:eastAsia="zh-CN" w:bidi="ar-SA"/>
        </w:rPr>
        <w:t>的不确定度分量评定</w:t>
      </w:r>
    </w:p>
    <w:p w14:paraId="2FE98E76">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8.2.3.1 光谱亮度计的波长偏离的影响</w:t>
      </w:r>
    </w:p>
    <w:p w14:paraId="26F70208">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如果采用严格的不确定度传播率方法计算波长偏离引入的不确定度是个十分复杂的计算。参考JJG211-2021 亮度计检定规程附录中相关章节的结论，在波长误差0.5 nm的条件下，色品坐标因波长误差引入的不确定度不超过0.0006。因此，</w:t>
      </w:r>
    </w:p>
    <w:p w14:paraId="4200056C">
      <w:pPr>
        <w:adjustRightInd w:val="0"/>
        <w:snapToGrid w:val="0"/>
        <w:ind w:firstLine="420" w:firstLineChars="0"/>
        <w:jc w:val="center"/>
        <w:rPr>
          <w:rFonts w:hint="default" w:ascii="Times New Roman" w:hAnsi="Times New Roman" w:eastAsia="宋体" w:cs="Times New Roman"/>
          <w:sz w:val="24"/>
          <w:szCs w:val="24"/>
          <w:lang w:val="en-US" w:eastAsia="zh-CN"/>
        </w:rPr>
      </w:p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 xml:space="preserve">1, </m:t>
            </m:r>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lang w:val="en-US" w:eastAsia="zh-CN"/>
              </w:rPr>
              <m:t>2</m:t>
            </m:r>
            <m:r>
              <m:rPr/>
              <w:rPr>
                <w:rFonts w:hint="default" w:ascii="Cambria Math" w:hAnsi="Cambria Math" w:eastAsia="宋体" w:cs="Times New Roman"/>
                <w:sz w:val="24"/>
                <w:szCs w:val="24"/>
              </w:rPr>
              <m:t xml:space="preserve">, </m:t>
            </m:r>
            <m:r>
              <m:rPr/>
              <w:rPr>
                <w:rFonts w:hint="default" w:ascii="Cambria Math" w:hAnsi="Cambria Math" w:eastAsia="宋体" w:cs="Times New Roman"/>
                <w:sz w:val="24"/>
                <w:szCs w:val="24"/>
                <w:lang w:val="en-US" w:eastAsia="zh-CN"/>
              </w:rPr>
              <m:t>1</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=0.0006</m:t>
        </m:r>
      </m:oMath>
      <w:r>
        <w:rPr>
          <w:rFonts w:hint="default" w:ascii="Times New Roman" w:hAnsi="Times New Roman" w:eastAsia="宋体" w:cs="Times New Roman"/>
          <w:sz w:val="24"/>
          <w:szCs w:val="24"/>
        </w:rPr>
        <w:t>，B类方法评定。</w:t>
      </w:r>
    </w:p>
    <w:p w14:paraId="1827E9D0">
      <w:pPr>
        <w:adjustRightInd w:val="0"/>
        <w:snapToGrid w:val="0"/>
        <w:jc w:val="both"/>
        <w:rPr>
          <w:rFonts w:hint="default" w:ascii="Times New Roman" w:hAnsi="Times New Roman" w:eastAsia="宋体" w:cs="Times New Roman"/>
          <w:sz w:val="24"/>
          <w:szCs w:val="24"/>
          <w:lang w:val="en-US" w:eastAsia="zh-CN"/>
        </w:rPr>
      </w:pPr>
    </w:p>
    <w:p w14:paraId="5DD7CF7D">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8.2.3.2 光谱亮度计的带宽影响</w:t>
      </w:r>
    </w:p>
    <w:p w14:paraId="66D157CF">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根据国际照明委员会（International Commission on illumination，CIE）技术报告 CIE 214:2014 《仪器带宽函数和测量间隔对于光谱参数的影响》，测量仪器的带宽对色品坐标结果存在影响。根据经验，其影响偏差不大于±0.0010，假设均匀分布，带宽影响引入的不确定度分量</w:t>
      </w:r>
    </w:p>
    <w:p w14:paraId="57808928">
      <w:pPr>
        <w:adjustRightInd w:val="0"/>
        <w:snapToGrid w:val="0"/>
        <w:jc w:val="both"/>
        <w:rPr>
          <w:rFonts w:hint="default" w:ascii="Times New Roman" w:hAnsi="Times New Roman" w:eastAsia="宋体" w:cs="Times New Roman"/>
          <w:sz w:val="24"/>
          <w:szCs w:val="24"/>
          <w:lang w:val="en-US" w:eastAsia="zh-CN"/>
        </w:rPr>
      </w:pPr>
      <m:oMathPara>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 xml:space="preserve">1, </m:t>
              </m:r>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lang w:val="en-US" w:eastAsia="zh-CN"/>
                </w:rPr>
                <m:t>2</m:t>
              </m:r>
              <m:r>
                <m:rPr/>
                <w:rPr>
                  <w:rFonts w:hint="default" w:ascii="Cambria Math" w:hAnsi="Cambria Math" w:eastAsia="宋体" w:cs="Times New Roman"/>
                  <w:sz w:val="24"/>
                  <w:szCs w:val="24"/>
                </w:rPr>
                <m:t xml:space="preserve">, </m:t>
              </m:r>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f>
            <m:fPr>
              <m:ctrlPr>
                <w:rPr>
                  <w:rFonts w:hint="default" w:ascii="Cambria Math" w:hAnsi="Cambria Math" w:eastAsia="宋体" w:cs="Times New Roman"/>
                  <w:i/>
                  <w:sz w:val="24"/>
                  <w:szCs w:val="24"/>
                  <w:lang w:val="en-US" w:eastAsia="zh-CN"/>
                </w:rPr>
              </m:ctrlPr>
            </m:fPr>
            <m:num>
              <m:r>
                <m:rPr/>
                <w:rPr>
                  <w:rFonts w:hint="default" w:ascii="Cambria Math" w:hAnsi="Cambria Math" w:eastAsia="宋体" w:cs="Times New Roman"/>
                  <w:sz w:val="24"/>
                  <w:szCs w:val="24"/>
                  <w:lang w:val="en-US" w:eastAsia="zh-CN"/>
                </w:rPr>
                <m:t>0.0010</m:t>
              </m:r>
              <m:ctrlPr>
                <w:rPr>
                  <w:rFonts w:hint="default" w:ascii="Cambria Math" w:hAnsi="Cambria Math" w:eastAsia="宋体" w:cs="Times New Roman"/>
                  <w:i/>
                  <w:sz w:val="24"/>
                  <w:szCs w:val="24"/>
                  <w:lang w:val="en-US" w:eastAsia="zh-CN"/>
                </w:rPr>
              </m:ctrlPr>
            </m:num>
            <m:den>
              <m:rad>
                <m:radPr>
                  <m:degHide m:val="1"/>
                  <m:ctrlPr>
                    <w:rPr>
                      <w:rFonts w:hint="default" w:ascii="Cambria Math" w:hAnsi="Cambria Math" w:eastAsia="宋体" w:cs="Times New Roman"/>
                      <w:sz w:val="24"/>
                      <w:szCs w:val="24"/>
                    </w:rPr>
                  </m:ctrlPr>
                </m:radPr>
                <m:deg>
                  <m:ctrlPr>
                    <w:rPr>
                      <w:rFonts w:hint="default" w:ascii="Cambria Math" w:hAnsi="Cambria Math" w:eastAsia="宋体" w:cs="Times New Roman"/>
                      <w:sz w:val="24"/>
                      <w:szCs w:val="24"/>
                    </w:rPr>
                  </m:ctrlPr>
                </m:deg>
                <m:e>
                  <m:r>
                    <m:rPr>
                      <m:sty m:val="p"/>
                    </m:rPr>
                    <w:rPr>
                      <w:rFonts w:hint="default" w:ascii="Cambria Math" w:hAnsi="Cambria Math" w:eastAsia="宋体" w:cs="Times New Roman"/>
                      <w:sz w:val="24"/>
                      <w:szCs w:val="24"/>
                    </w:rPr>
                    <m:t>3</m:t>
                  </m:r>
                  <m:ctrlPr>
                    <w:rPr>
                      <w:rFonts w:hint="default" w:ascii="Cambria Math" w:hAnsi="Cambria Math" w:eastAsia="宋体" w:cs="Times New Roman"/>
                      <w:sz w:val="24"/>
                      <w:szCs w:val="24"/>
                    </w:rPr>
                  </m:ctrlPr>
                </m:e>
              </m:rad>
              <m:ctrlPr>
                <w:rPr>
                  <w:rFonts w:hint="default" w:ascii="Cambria Math" w:hAnsi="Cambria Math" w:eastAsia="宋体" w:cs="Times New Roman"/>
                  <w:i/>
                  <w:sz w:val="24"/>
                  <w:szCs w:val="24"/>
                  <w:lang w:val="en-US" w:eastAsia="zh-CN"/>
                </w:rPr>
              </m:ctrlPr>
            </m:den>
          </m:f>
          <m:r>
            <m:rPr/>
            <w:rPr>
              <w:rFonts w:hint="default" w:ascii="Cambria Math" w:hAnsi="Cambria Math" w:eastAsia="宋体" w:cs="Times New Roman"/>
              <w:sz w:val="24"/>
              <w:szCs w:val="24"/>
              <w:lang w:val="en-US" w:eastAsia="zh-CN"/>
            </w:rPr>
            <m:t>=0.0006</m:t>
          </m:r>
        </m:oMath>
      </m:oMathPara>
    </w:p>
    <w:p w14:paraId="4A82EF3B">
      <w:pPr>
        <w:adjustRightInd w:val="0"/>
        <w:snapToGrid w:val="0"/>
        <w:jc w:val="both"/>
        <w:rPr>
          <w:rFonts w:hint="default" w:ascii="Times New Roman" w:hAnsi="Times New Roman" w:eastAsia="宋体" w:cs="Times New Roman"/>
          <w:sz w:val="24"/>
          <w:szCs w:val="24"/>
          <w:lang w:val="en-US" w:eastAsia="zh-CN"/>
        </w:rPr>
      </w:pPr>
    </w:p>
    <w:p w14:paraId="14C585DC">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8.2.3.3 光谱亮度计的非线性的影响</w:t>
      </w:r>
    </w:p>
    <w:p w14:paraId="44E0D716">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光谱</w:t>
      </w:r>
      <w:r>
        <w:rPr>
          <w:rFonts w:hint="default" w:ascii="Times New Roman" w:hAnsi="Times New Roman" w:eastAsia="宋体" w:cs="Times New Roman"/>
          <w:sz w:val="24"/>
          <w:szCs w:val="24"/>
          <w:highlight w:val="none"/>
          <w:lang w:val="en-US" w:eastAsia="zh-CN"/>
        </w:rPr>
        <w:t>亮度计由于感光元件特性</w:t>
      </w:r>
      <w:r>
        <w:rPr>
          <w:rFonts w:hint="default" w:ascii="Times New Roman" w:hAnsi="Times New Roman" w:eastAsia="宋体" w:cs="Times New Roman"/>
          <w:sz w:val="24"/>
          <w:szCs w:val="24"/>
          <w:lang w:val="en-US" w:eastAsia="zh-CN"/>
        </w:rPr>
        <w:t>存在较显著的非线性效应。尽管亮度计在仪器设计上已进行非线性修正，但由于不同光谱区域的非线性特性差异等因素，无法彻底消除非线性的影响。根据经验，非线性对于色品坐标的影响偏差不大于±0.0010，假设均匀分布，非线性引入的不确定度分量是</w:t>
      </w:r>
    </w:p>
    <w:p w14:paraId="5F6209B9">
      <w:pPr>
        <w:adjustRightInd w:val="0"/>
        <w:snapToGrid w:val="0"/>
        <w:jc w:val="both"/>
        <w:rPr>
          <w:rFonts w:hint="default" w:ascii="Times New Roman" w:hAnsi="Times New Roman" w:eastAsia="宋体" w:cs="Times New Roman"/>
          <w:sz w:val="24"/>
          <w:szCs w:val="24"/>
          <w:lang w:val="en-US" w:eastAsia="zh-CN"/>
        </w:rPr>
      </w:pPr>
      <m:oMathPara>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 xml:space="preserve">1, </m:t>
              </m:r>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lang w:val="en-US" w:eastAsia="zh-CN"/>
                </w:rPr>
                <m:t>2</m:t>
              </m:r>
              <m:r>
                <m:rPr/>
                <w:rPr>
                  <w:rFonts w:hint="default" w:ascii="Cambria Math" w:hAnsi="Cambria Math" w:eastAsia="宋体" w:cs="Times New Roman"/>
                  <w:sz w:val="24"/>
                  <w:szCs w:val="24"/>
                </w:rPr>
                <m:t xml:space="preserve">, </m:t>
              </m:r>
              <m:r>
                <m:rPr/>
                <w:rPr>
                  <w:rFonts w:hint="default" w:ascii="Cambria Math" w:hAnsi="Cambria Math" w:eastAsia="宋体" w:cs="Times New Roman"/>
                  <w:sz w:val="24"/>
                  <w:szCs w:val="24"/>
                  <w:lang w:val="en-US" w:eastAsia="zh-CN"/>
                </w:rPr>
                <m:t>3</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f>
            <m:fPr>
              <m:ctrlPr>
                <w:rPr>
                  <w:rFonts w:hint="default" w:ascii="Cambria Math" w:hAnsi="Cambria Math" w:eastAsia="宋体" w:cs="Times New Roman"/>
                  <w:i/>
                  <w:sz w:val="24"/>
                  <w:szCs w:val="24"/>
                  <w:lang w:val="en-US" w:eastAsia="zh-CN"/>
                </w:rPr>
              </m:ctrlPr>
            </m:fPr>
            <m:num>
              <m:r>
                <m:rPr/>
                <w:rPr>
                  <w:rFonts w:hint="default" w:ascii="Cambria Math" w:hAnsi="Cambria Math" w:eastAsia="宋体" w:cs="Times New Roman"/>
                  <w:sz w:val="24"/>
                  <w:szCs w:val="24"/>
                  <w:lang w:val="en-US" w:eastAsia="zh-CN"/>
                </w:rPr>
                <m:t>0.0005</m:t>
              </m:r>
              <m:ctrlPr>
                <w:rPr>
                  <w:rFonts w:hint="default" w:ascii="Cambria Math" w:hAnsi="Cambria Math" w:eastAsia="宋体" w:cs="Times New Roman"/>
                  <w:i/>
                  <w:sz w:val="24"/>
                  <w:szCs w:val="24"/>
                  <w:lang w:val="en-US" w:eastAsia="zh-CN"/>
                </w:rPr>
              </m:ctrlPr>
            </m:num>
            <m:den>
              <m:rad>
                <m:radPr>
                  <m:degHide m:val="1"/>
                  <m:ctrlPr>
                    <w:rPr>
                      <w:rFonts w:hint="default" w:ascii="Cambria Math" w:hAnsi="Cambria Math" w:eastAsia="宋体" w:cs="Times New Roman"/>
                      <w:sz w:val="24"/>
                      <w:szCs w:val="24"/>
                    </w:rPr>
                  </m:ctrlPr>
                </m:radPr>
                <m:deg>
                  <m:ctrlPr>
                    <w:rPr>
                      <w:rFonts w:hint="default" w:ascii="Cambria Math" w:hAnsi="Cambria Math" w:eastAsia="宋体" w:cs="Times New Roman"/>
                      <w:sz w:val="24"/>
                      <w:szCs w:val="24"/>
                    </w:rPr>
                  </m:ctrlPr>
                </m:deg>
                <m:e>
                  <m:r>
                    <m:rPr>
                      <m:sty m:val="p"/>
                    </m:rPr>
                    <w:rPr>
                      <w:rFonts w:hint="default" w:ascii="Cambria Math" w:hAnsi="Cambria Math" w:eastAsia="宋体" w:cs="Times New Roman"/>
                      <w:sz w:val="24"/>
                      <w:szCs w:val="24"/>
                    </w:rPr>
                    <m:t>3</m:t>
                  </m:r>
                  <m:ctrlPr>
                    <w:rPr>
                      <w:rFonts w:hint="default" w:ascii="Cambria Math" w:hAnsi="Cambria Math" w:eastAsia="宋体" w:cs="Times New Roman"/>
                      <w:sz w:val="24"/>
                      <w:szCs w:val="24"/>
                    </w:rPr>
                  </m:ctrlPr>
                </m:e>
              </m:rad>
              <m:ctrlPr>
                <w:rPr>
                  <w:rFonts w:hint="default" w:ascii="Cambria Math" w:hAnsi="Cambria Math" w:eastAsia="宋体" w:cs="Times New Roman"/>
                  <w:i/>
                  <w:sz w:val="24"/>
                  <w:szCs w:val="24"/>
                  <w:lang w:val="en-US" w:eastAsia="zh-CN"/>
                </w:rPr>
              </m:ctrlPr>
            </m:den>
          </m:f>
          <m:r>
            <m:rPr/>
            <w:rPr>
              <w:rFonts w:hint="default" w:ascii="Cambria Math" w:hAnsi="Cambria Math" w:eastAsia="宋体" w:cs="Times New Roman"/>
              <w:sz w:val="24"/>
              <w:szCs w:val="24"/>
              <w:lang w:val="en-US" w:eastAsia="zh-CN"/>
            </w:rPr>
            <m:t>=0.0003</m:t>
          </m:r>
        </m:oMath>
      </m:oMathPara>
    </w:p>
    <w:p w14:paraId="37938AEC">
      <w:pPr>
        <w:adjustRightInd w:val="0"/>
        <w:snapToGrid w:val="0"/>
        <w:ind w:firstLine="420" w:firstLineChars="0"/>
        <w:jc w:val="both"/>
        <w:rPr>
          <w:rFonts w:hint="default" w:ascii="Times New Roman" w:hAnsi="Times New Roman" w:eastAsia="宋体" w:cs="Times New Roman"/>
          <w:sz w:val="24"/>
          <w:szCs w:val="24"/>
          <w:lang w:val="en-US" w:eastAsia="zh-CN"/>
        </w:rPr>
      </w:pPr>
    </w:p>
    <w:p w14:paraId="6AE66A8A">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8.2.3.4 光谱亮度计的杂散光影响</w:t>
      </w:r>
    </w:p>
    <w:p w14:paraId="7EF981FA">
      <w:pPr>
        <w:adjustRightInd w:val="0"/>
        <w:snapToGrid w:val="0"/>
        <w:ind w:firstLine="42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感光单元是阵列式的亮度计，因光栅特性、内部散射和荧光效应，存在内部杂散光，即非目标波长的光线投射到感光单元上。根据经验，内部杂散光的对结果的偏差不大于±0.0005，假设均匀分布，内部杂散光引入的不确定度分量是</w:t>
      </w:r>
    </w:p>
    <w:p w14:paraId="5E53F3E8">
      <w:pPr>
        <w:adjustRightInd w:val="0"/>
        <w:snapToGrid w:val="0"/>
        <w:jc w:val="both"/>
        <w:rPr>
          <w:rFonts w:hint="default" w:ascii="Times New Roman" w:hAnsi="Times New Roman" w:eastAsia="宋体" w:cs="Times New Roman"/>
          <w:sz w:val="24"/>
          <w:szCs w:val="24"/>
          <w:lang w:val="en-US" w:eastAsia="zh-CN"/>
        </w:rPr>
      </w:pPr>
      <m:oMathPara>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rPr>
                <m:t xml:space="preserve">1, </m:t>
              </m:r>
              <m:r>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sty m:val="p"/>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c</m:t>
              </m:r>
              <m:ctrlPr>
                <w:rPr>
                  <w:rFonts w:hint="default" w:ascii="Cambria Math" w:hAnsi="Cambria Math" w:eastAsia="宋体" w:cs="Times New Roman"/>
                  <w:i/>
                  <w:sz w:val="24"/>
                  <w:szCs w:val="24"/>
                </w:rPr>
              </m:ctrlPr>
            </m:e>
            <m:sub>
              <m:r>
                <m:rPr/>
                <w:rPr>
                  <w:rFonts w:hint="default" w:ascii="Cambria Math" w:hAnsi="Cambria Math" w:eastAsia="宋体" w:cs="Times New Roman"/>
                  <w:sz w:val="24"/>
                  <w:szCs w:val="24"/>
                  <w:lang w:val="en-US" w:eastAsia="zh-CN"/>
                </w:rPr>
                <m:t>2</m:t>
              </m:r>
              <m:r>
                <m:rPr/>
                <w:rPr>
                  <w:rFonts w:hint="default" w:ascii="Cambria Math" w:hAnsi="Cambria Math" w:eastAsia="宋体" w:cs="Times New Roman"/>
                  <w:sz w:val="24"/>
                  <w:szCs w:val="24"/>
                </w:rPr>
                <m:t xml:space="preserve">, </m:t>
              </m:r>
              <m:r>
                <m:rPr/>
                <w:rPr>
                  <w:rFonts w:hint="default" w:ascii="Cambria Math" w:hAnsi="Cambria Math" w:eastAsia="宋体" w:cs="Times New Roman"/>
                  <w:sz w:val="24"/>
                  <w:szCs w:val="24"/>
                  <w:lang w:val="en-US" w:eastAsia="zh-CN"/>
                </w:rPr>
                <m:t>4</m:t>
              </m:r>
              <m:ctrlPr>
                <w:rPr>
                  <w:rFonts w:hint="default" w:ascii="Cambria Math" w:hAnsi="Cambria Math" w:eastAsia="宋体" w:cs="Times New Roman"/>
                  <w:i/>
                  <w:sz w:val="24"/>
                  <w:szCs w:val="24"/>
                </w:rPr>
              </m:ctrlPr>
            </m:sub>
          </m:sSub>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m:t>
          </m:r>
          <m:f>
            <m:fPr>
              <m:ctrlPr>
                <w:rPr>
                  <w:rFonts w:hint="default" w:ascii="Cambria Math" w:hAnsi="Cambria Math" w:eastAsia="宋体" w:cs="Times New Roman"/>
                  <w:i/>
                  <w:sz w:val="24"/>
                  <w:szCs w:val="24"/>
                  <w:lang w:val="en-US" w:eastAsia="zh-CN"/>
                </w:rPr>
              </m:ctrlPr>
            </m:fPr>
            <m:num>
              <m:r>
                <m:rPr/>
                <w:rPr>
                  <w:rFonts w:hint="default" w:ascii="Cambria Math" w:hAnsi="Cambria Math" w:eastAsia="宋体" w:cs="Times New Roman"/>
                  <w:sz w:val="24"/>
                  <w:szCs w:val="24"/>
                  <w:lang w:val="en-US" w:eastAsia="zh-CN"/>
                </w:rPr>
                <m:t>0.0005</m:t>
              </m:r>
              <m:ctrlPr>
                <w:rPr>
                  <w:rFonts w:hint="default" w:ascii="Cambria Math" w:hAnsi="Cambria Math" w:eastAsia="宋体" w:cs="Times New Roman"/>
                  <w:i/>
                  <w:sz w:val="24"/>
                  <w:szCs w:val="24"/>
                  <w:lang w:val="en-US" w:eastAsia="zh-CN"/>
                </w:rPr>
              </m:ctrlPr>
            </m:num>
            <m:den>
              <m:rad>
                <m:radPr>
                  <m:degHide m:val="1"/>
                  <m:ctrlPr>
                    <w:rPr>
                      <w:rFonts w:hint="default" w:ascii="Cambria Math" w:hAnsi="Cambria Math" w:eastAsia="宋体" w:cs="Times New Roman"/>
                      <w:sz w:val="24"/>
                      <w:szCs w:val="24"/>
                    </w:rPr>
                  </m:ctrlPr>
                </m:radPr>
                <m:deg>
                  <m:ctrlPr>
                    <w:rPr>
                      <w:rFonts w:hint="default" w:ascii="Cambria Math" w:hAnsi="Cambria Math" w:eastAsia="宋体" w:cs="Times New Roman"/>
                      <w:sz w:val="24"/>
                      <w:szCs w:val="24"/>
                    </w:rPr>
                  </m:ctrlPr>
                </m:deg>
                <m:e>
                  <m:r>
                    <m:rPr>
                      <m:sty m:val="p"/>
                    </m:rPr>
                    <w:rPr>
                      <w:rFonts w:hint="default" w:ascii="Cambria Math" w:hAnsi="Cambria Math" w:eastAsia="宋体" w:cs="Times New Roman"/>
                      <w:sz w:val="24"/>
                      <w:szCs w:val="24"/>
                    </w:rPr>
                    <m:t>3</m:t>
                  </m:r>
                  <m:ctrlPr>
                    <w:rPr>
                      <w:rFonts w:hint="default" w:ascii="Cambria Math" w:hAnsi="Cambria Math" w:eastAsia="宋体" w:cs="Times New Roman"/>
                      <w:sz w:val="24"/>
                      <w:szCs w:val="24"/>
                    </w:rPr>
                  </m:ctrlPr>
                </m:e>
              </m:rad>
              <m:ctrlPr>
                <w:rPr>
                  <w:rFonts w:hint="default" w:ascii="Cambria Math" w:hAnsi="Cambria Math" w:eastAsia="宋体" w:cs="Times New Roman"/>
                  <w:i/>
                  <w:sz w:val="24"/>
                  <w:szCs w:val="24"/>
                  <w:lang w:val="en-US" w:eastAsia="zh-CN"/>
                </w:rPr>
              </m:ctrlPr>
            </m:den>
          </m:f>
          <m:r>
            <m:rPr/>
            <w:rPr>
              <w:rFonts w:hint="default" w:ascii="Cambria Math" w:hAnsi="Cambria Math" w:eastAsia="宋体" w:cs="Times New Roman"/>
              <w:sz w:val="24"/>
              <w:szCs w:val="24"/>
              <w:lang w:val="en-US" w:eastAsia="zh-CN"/>
            </w:rPr>
            <m:t>=0.0003</m:t>
          </m:r>
        </m:oMath>
      </m:oMathPara>
    </w:p>
    <w:p w14:paraId="5E64741D">
      <w:pPr>
        <w:adjustRightInd w:val="0"/>
        <w:snapToGrid w:val="0"/>
        <w:jc w:val="both"/>
        <w:rPr>
          <w:rFonts w:hint="default" w:ascii="Times New Roman" w:hAnsi="Times New Roman" w:eastAsia="宋体" w:cs="Times New Roman"/>
          <w:sz w:val="24"/>
          <w:szCs w:val="24"/>
          <w:lang w:val="en-US" w:eastAsia="zh-CN"/>
        </w:rPr>
      </w:pPr>
    </w:p>
    <w:p w14:paraId="2CEC101E">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i w:val="0"/>
          <w:kern w:val="2"/>
          <w:sz w:val="24"/>
          <w:szCs w:val="24"/>
          <w:lang w:val="en-US" w:eastAsia="zh-CN" w:bidi="ar-SA"/>
        </w:rPr>
        <w:t xml:space="preserve">4 </w:t>
      </w:r>
      <w:r>
        <w:rPr>
          <w:rFonts w:hint="default" w:ascii="Times New Roman" w:hAnsi="Times New Roman" w:eastAsia="宋体" w:cs="Times New Roman"/>
          <w:sz w:val="24"/>
          <w:szCs w:val="24"/>
          <w:highlight w:val="none"/>
          <w:lang w:val="en-US" w:eastAsia="zh-CN"/>
        </w:rPr>
        <w:t>标准不确定度分量评定结果</w:t>
      </w:r>
    </w:p>
    <w:p w14:paraId="78736DCB">
      <w:pPr>
        <w:pStyle w:val="3"/>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表 </w:t>
      </w:r>
      <w:bookmarkStart w:id="3" w:name="_Toc14297"/>
      <w:r>
        <w:rPr>
          <w:rFonts w:hint="default" w:ascii="Times New Roman" w:hAnsi="Times New Roman" w:eastAsia="宋体" w:cs="Times New Roman"/>
          <w:sz w:val="24"/>
          <w:szCs w:val="24"/>
          <w:lang w:val="en-US" w:eastAsia="zh-CN"/>
        </w:rPr>
        <w:t>B.3</w:t>
      </w:r>
      <w:r>
        <w:rPr>
          <w:rFonts w:hint="default" w:ascii="Times New Roman" w:hAnsi="Times New Roman" w:eastAsia="宋体" w:cs="Times New Roman"/>
          <w:sz w:val="24"/>
          <w:szCs w:val="24"/>
        </w:rPr>
        <w:t xml:space="preserve"> 色品坐标不确定度分量评估结果</w:t>
      </w:r>
      <w:bookmarkEnd w:id="3"/>
    </w:p>
    <w:tbl>
      <w:tblPr>
        <w:tblStyle w:val="4"/>
        <w:tblW w:w="5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500"/>
        <w:gridCol w:w="2040"/>
      </w:tblGrid>
      <w:tr w14:paraId="14E2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61" w:type="dxa"/>
            <w:shd w:val="clear" w:color="auto" w:fill="auto"/>
            <w:noWrap/>
            <w:vAlign w:val="center"/>
          </w:tcPr>
          <w:p w14:paraId="7F47F3A3">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来源</w:t>
            </w:r>
          </w:p>
        </w:tc>
        <w:tc>
          <w:tcPr>
            <w:tcW w:w="1500" w:type="dxa"/>
            <w:shd w:val="clear" w:color="auto" w:fill="auto"/>
            <w:noWrap/>
            <w:vAlign w:val="center"/>
          </w:tcPr>
          <w:p w14:paraId="065AADD4">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类型</w:t>
            </w:r>
          </w:p>
        </w:tc>
        <w:tc>
          <w:tcPr>
            <w:tcW w:w="2040" w:type="dxa"/>
            <w:shd w:val="clear" w:color="auto" w:fill="auto"/>
            <w:noWrap/>
            <w:vAlign w:val="center"/>
          </w:tcPr>
          <w:p w14:paraId="5FCB49FF">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不确定度分量贡献</w:t>
            </w:r>
          </w:p>
        </w:tc>
      </w:tr>
      <w:tr w14:paraId="7620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61" w:type="dxa"/>
            <w:shd w:val="clear" w:color="auto" w:fill="auto"/>
            <w:noWrap/>
            <w:vAlign w:val="center"/>
          </w:tcPr>
          <w:p w14:paraId="572231BC">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上级标准源（A光源）</w:t>
            </w:r>
          </w:p>
        </w:tc>
        <w:tc>
          <w:tcPr>
            <w:tcW w:w="1500" w:type="dxa"/>
            <w:shd w:val="clear" w:color="auto" w:fill="auto"/>
            <w:noWrap/>
            <w:vAlign w:val="center"/>
          </w:tcPr>
          <w:p w14:paraId="55DAEEC9">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4B0767AA">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0.00027</w:t>
            </w:r>
          </w:p>
        </w:tc>
      </w:tr>
      <w:tr w14:paraId="461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361" w:type="dxa"/>
            <w:shd w:val="clear" w:color="auto" w:fill="auto"/>
            <w:noWrap/>
            <w:vAlign w:val="center"/>
          </w:tcPr>
          <w:p w14:paraId="633F4E1A">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测量重复性</w:t>
            </w:r>
          </w:p>
        </w:tc>
        <w:tc>
          <w:tcPr>
            <w:tcW w:w="1500" w:type="dxa"/>
            <w:shd w:val="clear" w:color="auto" w:fill="auto"/>
            <w:noWrap/>
            <w:vAlign w:val="center"/>
          </w:tcPr>
          <w:p w14:paraId="0EA43282">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A</w:t>
            </w:r>
          </w:p>
        </w:tc>
        <w:tc>
          <w:tcPr>
            <w:tcW w:w="2040" w:type="dxa"/>
            <w:shd w:val="clear" w:color="auto" w:fill="auto"/>
            <w:noWrap/>
            <w:vAlign w:val="center"/>
          </w:tcPr>
          <w:p w14:paraId="4C3270C1">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0.00007</w:t>
            </w:r>
          </w:p>
        </w:tc>
      </w:tr>
      <w:tr w14:paraId="27A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361" w:type="dxa"/>
            <w:shd w:val="clear" w:color="auto" w:fill="auto"/>
            <w:noWrap/>
            <w:vAlign w:val="center"/>
          </w:tcPr>
          <w:p w14:paraId="4D6FDD1B">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LED稳定性</w:t>
            </w:r>
          </w:p>
        </w:tc>
        <w:tc>
          <w:tcPr>
            <w:tcW w:w="1500" w:type="dxa"/>
            <w:shd w:val="clear" w:color="auto" w:fill="auto"/>
            <w:noWrap/>
            <w:vAlign w:val="center"/>
          </w:tcPr>
          <w:p w14:paraId="57822834">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374D3319">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0.0006</w:t>
            </w:r>
          </w:p>
        </w:tc>
      </w:tr>
      <w:tr w14:paraId="28B5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361" w:type="dxa"/>
            <w:shd w:val="clear" w:color="auto" w:fill="auto"/>
            <w:noWrap/>
            <w:vAlign w:val="center"/>
          </w:tcPr>
          <w:p w14:paraId="5F58E367">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波长偏离</w:t>
            </w:r>
          </w:p>
        </w:tc>
        <w:tc>
          <w:tcPr>
            <w:tcW w:w="1500" w:type="dxa"/>
            <w:shd w:val="clear" w:color="auto" w:fill="auto"/>
            <w:noWrap/>
            <w:vAlign w:val="center"/>
          </w:tcPr>
          <w:p w14:paraId="7018D47C">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039C92BC">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0.0006</w:t>
            </w:r>
          </w:p>
        </w:tc>
      </w:tr>
      <w:tr w14:paraId="04A0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1" w:type="dxa"/>
            <w:shd w:val="clear" w:color="auto" w:fill="auto"/>
            <w:noWrap/>
            <w:vAlign w:val="center"/>
          </w:tcPr>
          <w:p w14:paraId="65BF23A2">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带宽</w:t>
            </w:r>
          </w:p>
        </w:tc>
        <w:tc>
          <w:tcPr>
            <w:tcW w:w="1500" w:type="dxa"/>
            <w:shd w:val="clear" w:color="auto" w:fill="auto"/>
            <w:noWrap/>
            <w:vAlign w:val="center"/>
          </w:tcPr>
          <w:p w14:paraId="70C6F835">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1C2CFAD9">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0.0006</w:t>
            </w:r>
          </w:p>
        </w:tc>
      </w:tr>
      <w:tr w14:paraId="02A0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361" w:type="dxa"/>
            <w:shd w:val="clear" w:color="auto" w:fill="auto"/>
            <w:noWrap/>
            <w:vAlign w:val="center"/>
          </w:tcPr>
          <w:p w14:paraId="0CD4B210">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非线性</w:t>
            </w:r>
          </w:p>
        </w:tc>
        <w:tc>
          <w:tcPr>
            <w:tcW w:w="1500" w:type="dxa"/>
            <w:shd w:val="clear" w:color="auto" w:fill="auto"/>
            <w:noWrap/>
            <w:vAlign w:val="center"/>
          </w:tcPr>
          <w:p w14:paraId="56BFBB58">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14830D44">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0.0003</w:t>
            </w:r>
          </w:p>
        </w:tc>
      </w:tr>
      <w:tr w14:paraId="6D86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361" w:type="dxa"/>
            <w:shd w:val="clear" w:color="auto" w:fill="auto"/>
            <w:vAlign w:val="center"/>
          </w:tcPr>
          <w:p w14:paraId="68E2A68D">
            <w:pPr>
              <w:widowControl/>
              <w:jc w:val="left"/>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亮度计内部杂散光</w:t>
            </w:r>
          </w:p>
        </w:tc>
        <w:tc>
          <w:tcPr>
            <w:tcW w:w="1500" w:type="dxa"/>
            <w:shd w:val="clear" w:color="auto" w:fill="auto"/>
            <w:noWrap/>
            <w:vAlign w:val="center"/>
          </w:tcPr>
          <w:p w14:paraId="5A1C5700">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B</w:t>
            </w:r>
          </w:p>
        </w:tc>
        <w:tc>
          <w:tcPr>
            <w:tcW w:w="2040" w:type="dxa"/>
            <w:shd w:val="clear" w:color="auto" w:fill="auto"/>
            <w:noWrap/>
            <w:vAlign w:val="center"/>
          </w:tcPr>
          <w:p w14:paraId="0C427B70">
            <w:pPr>
              <w:keepNext w:val="0"/>
              <w:keepLines w:val="0"/>
              <w:widowControl/>
              <w:suppressLineNumbers w:val="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0.0003</w:t>
            </w:r>
          </w:p>
        </w:tc>
      </w:tr>
      <w:tr w14:paraId="5545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861" w:type="dxa"/>
            <w:gridSpan w:val="2"/>
            <w:shd w:val="clear" w:color="auto" w:fill="auto"/>
            <w:noWrap/>
            <w:vAlign w:val="center"/>
          </w:tcPr>
          <w:p w14:paraId="4DE26B0F">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标准不确定度</w:t>
            </w:r>
            <m:oMath>
              <m:r>
                <m:rPr/>
                <w:rPr>
                  <w:rFonts w:hint="default" w:ascii="Cambria Math" w:hAnsi="Cambria Math" w:eastAsia="宋体" w:cs="Times New Roman"/>
                  <w:color w:val="000000"/>
                  <w:kern w:val="0"/>
                  <w:sz w:val="24"/>
                  <w:szCs w:val="24"/>
                  <w:lang w:bidi="ar"/>
                </w:rPr>
                <m:t>u</m:t>
              </m:r>
            </m:oMath>
          </w:p>
        </w:tc>
        <w:tc>
          <w:tcPr>
            <w:tcW w:w="0" w:type="auto"/>
            <w:shd w:val="clear" w:color="auto" w:fill="auto"/>
            <w:noWrap/>
            <w:vAlign w:val="center"/>
          </w:tcPr>
          <w:p w14:paraId="02320DB9">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0.001</w:t>
            </w:r>
            <w:r>
              <w:rPr>
                <w:rFonts w:hint="default" w:ascii="Times New Roman" w:hAnsi="Times New Roman" w:eastAsia="宋体" w:cs="Times New Roman"/>
                <w:color w:val="000000"/>
                <w:kern w:val="0"/>
                <w:sz w:val="24"/>
                <w:szCs w:val="24"/>
                <w:lang w:val="en-US" w:eastAsia="zh-CN" w:bidi="ar"/>
              </w:rPr>
              <w:t>2</w:t>
            </w:r>
            <w:r>
              <w:rPr>
                <w:rFonts w:hint="default" w:ascii="Times New Roman" w:hAnsi="Times New Roman" w:eastAsia="宋体" w:cs="Times New Roman"/>
                <w:color w:val="000000"/>
                <w:kern w:val="0"/>
                <w:sz w:val="24"/>
                <w:szCs w:val="24"/>
                <w:lang w:bidi="ar"/>
              </w:rPr>
              <w:t xml:space="preserve"> </w:t>
            </w:r>
          </w:p>
        </w:tc>
      </w:tr>
      <w:tr w14:paraId="0F68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861" w:type="dxa"/>
            <w:gridSpan w:val="2"/>
            <w:shd w:val="clear" w:color="auto" w:fill="auto"/>
            <w:noWrap/>
            <w:vAlign w:val="center"/>
          </w:tcPr>
          <w:p w14:paraId="573F6DB5">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扩展不确定度</w:t>
            </w:r>
            <m:oMath>
              <m:r>
                <m:rPr/>
                <w:rPr>
                  <w:rFonts w:hint="default" w:ascii="Cambria Math" w:hAnsi="Cambria Math" w:eastAsia="宋体" w:cs="Times New Roman"/>
                  <w:sz w:val="24"/>
                  <w:szCs w:val="24"/>
                </w:rPr>
                <m:t>U</m:t>
              </m:r>
            </m:oMath>
            <w:r>
              <w:rPr>
                <w:rFonts w:hint="default" w:ascii="Times New Roman" w:hAnsi="Times New Roman" w:eastAsia="宋体" w:cs="Times New Roman"/>
                <w:sz w:val="24"/>
                <w:szCs w:val="24"/>
              </w:rPr>
              <w:t xml:space="preserve"> (</w:t>
            </w:r>
            <w:r>
              <w:rPr>
                <w:rFonts w:hint="default" w:ascii="Times New Roman" w:hAnsi="Times New Roman" w:eastAsia="宋体" w:cs="Times New Roman"/>
                <w:i/>
                <w:iCs/>
                <w:sz w:val="24"/>
                <w:szCs w:val="24"/>
              </w:rPr>
              <w:t>k</w:t>
            </w:r>
            <w:r>
              <w:rPr>
                <w:rFonts w:hint="default" w:ascii="Times New Roman" w:hAnsi="Times New Roman" w:eastAsia="宋体" w:cs="Times New Roman"/>
                <w:sz w:val="24"/>
                <w:szCs w:val="24"/>
              </w:rPr>
              <w:t>=2)</w:t>
            </w:r>
          </w:p>
        </w:tc>
        <w:tc>
          <w:tcPr>
            <w:tcW w:w="0" w:type="auto"/>
            <w:shd w:val="clear" w:color="auto" w:fill="auto"/>
            <w:noWrap/>
            <w:vAlign w:val="center"/>
          </w:tcPr>
          <w:p w14:paraId="3760960A">
            <w:pPr>
              <w:widowControl/>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kern w:val="0"/>
                <w:sz w:val="24"/>
                <w:szCs w:val="24"/>
                <w:lang w:bidi="ar"/>
              </w:rPr>
              <w:t xml:space="preserve">0.0024 </w:t>
            </w:r>
          </w:p>
        </w:tc>
      </w:tr>
    </w:tbl>
    <w:p w14:paraId="7802BD2B">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8.2.5 校准不确定度表达</w:t>
      </w:r>
    </w:p>
    <w:p w14:paraId="5101CB96">
      <w:pPr>
        <w:ind w:firstLine="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上述各不确定度来源独立，不相关。相对合成标准不确定度的计算公式简化为</w:t>
      </w:r>
    </w:p>
    <w:p w14:paraId="53773FFD">
      <w:pPr>
        <w:rPr>
          <w:rFonts w:hint="default" w:ascii="Times New Roman" w:hAnsi="Times New Roman" w:eastAsia="宋体" w:cs="Times New Roman"/>
          <w:sz w:val="24"/>
          <w:szCs w:val="24"/>
          <w:lang w:val="en-US"/>
        </w:rPr>
      </w:pPr>
      <m:oMathPara>
        <m:oMathParaPr>
          <m:jc m:val="center"/>
        </m:oMathParaPr>
        <m:oMath>
          <m:sSub>
            <m:sSubPr>
              <m:ctrlPr>
                <w:rPr>
                  <w:rFonts w:hint="default" w:ascii="Cambria Math" w:hAnsi="Cambria Math" w:eastAsia="宋体" w:cs="Times New Roman"/>
                  <w:i/>
                  <w:sz w:val="24"/>
                  <w:szCs w:val="24"/>
                </w:rPr>
              </m:ctrlPr>
            </m:sSub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sty m:val="p"/>
                </m:rPr>
                <w:rPr>
                  <w:rFonts w:hint="default" w:ascii="Cambria Math" w:hAnsi="Cambria Math" w:eastAsia="宋体" w:cs="Times New Roman"/>
                  <w:b w:val="0"/>
                  <w:i w:val="0"/>
                  <w:sz w:val="24"/>
                  <w:szCs w:val="24"/>
                </w:rPr>
                <m:t>c</m:t>
              </m:r>
              <m:ctrlPr>
                <w:rPr>
                  <w:rFonts w:hint="default" w:ascii="Cambria Math" w:hAnsi="Cambria Math" w:eastAsia="宋体" w:cs="Times New Roman"/>
                  <w:sz w:val="24"/>
                  <w:szCs w:val="24"/>
                </w:rPr>
              </m:ctrlPr>
            </m:sub>
          </m:sSub>
          <m:r>
            <m:rPr/>
            <w:rPr>
              <w:rFonts w:hint="default" w:ascii="Cambria Math" w:hAnsi="Cambria Math" w:eastAsia="宋体" w:cs="Times New Roman"/>
              <w:sz w:val="24"/>
              <w:szCs w:val="24"/>
            </w:rPr>
            <m:t>=</m:t>
          </m:r>
          <m:rad>
            <m:radPr>
              <m:degHide m:val="1"/>
              <m:ctrlPr>
                <w:rPr>
                  <w:rFonts w:hint="default" w:ascii="Cambria Math" w:hAnsi="Cambria Math" w:eastAsia="宋体" w:cs="Times New Roman"/>
                  <w:i/>
                  <w:sz w:val="24"/>
                  <w:szCs w:val="24"/>
                </w:rPr>
              </m:ctrlPr>
            </m:radPr>
            <m:deg>
              <m:ctrlPr>
                <w:rPr>
                  <w:rFonts w:hint="default" w:ascii="Cambria Math" w:hAnsi="Cambria Math" w:eastAsia="宋体" w:cs="Times New Roman"/>
                  <w:i/>
                  <w:sz w:val="24"/>
                  <w:szCs w:val="24"/>
                </w:rPr>
              </m:ctrlPr>
            </m:deg>
            <m:e>
              <m:nary>
                <m:naryPr>
                  <m:chr m:val="∑"/>
                  <m:limLoc m:val="undOvr"/>
                  <m:ctrlPr>
                    <w:rPr>
                      <w:rFonts w:hint="default" w:ascii="Cambria Math" w:hAnsi="Cambria Math" w:eastAsia="宋体" w:cs="Times New Roman"/>
                      <w:i/>
                      <w:sz w:val="24"/>
                      <w:szCs w:val="24"/>
                    </w:rPr>
                  </m:ctrlPr>
                </m:naryPr>
                <m:sub>
                  <m:r>
                    <m:rPr/>
                    <w:rPr>
                      <w:rFonts w:hint="default" w:ascii="Cambria Math" w:hAnsi="Cambria Math" w:eastAsia="宋体" w:cs="Times New Roman"/>
                      <w:sz w:val="24"/>
                      <w:szCs w:val="24"/>
                    </w:rPr>
                    <m:t>i=1</m:t>
                  </m:r>
                  <m:ctrlPr>
                    <w:rPr>
                      <w:rFonts w:hint="default" w:ascii="Cambria Math" w:hAnsi="Cambria Math" w:eastAsia="宋体" w:cs="Times New Roman"/>
                      <w:i/>
                      <w:sz w:val="24"/>
                      <w:szCs w:val="24"/>
                    </w:rPr>
                  </m:ctrlPr>
                </m:sub>
                <m:sup>
                  <m:r>
                    <m:rPr/>
                    <w:rPr>
                      <w:rFonts w:hint="default" w:ascii="Cambria Math" w:hAnsi="Cambria Math" w:eastAsia="宋体" w:cs="Times New Roman"/>
                      <w:sz w:val="24"/>
                      <w:szCs w:val="24"/>
                      <w:lang w:val="en-US" w:eastAsia="zh-CN"/>
                    </w:rPr>
                    <m:t>7</m:t>
                  </m:r>
                  <m:ctrlPr>
                    <w:rPr>
                      <w:rFonts w:hint="default" w:ascii="Cambria Math" w:hAnsi="Cambria Math" w:eastAsia="宋体" w:cs="Times New Roman"/>
                      <w:i/>
                      <w:sz w:val="24"/>
                      <w:szCs w:val="24"/>
                    </w:rPr>
                  </m:ctrlPr>
                </m:sup>
                <m:e>
                  <m:sSubSup>
                    <m:sSubSupPr>
                      <m:ctrlPr>
                        <w:rPr>
                          <w:rFonts w:hint="default" w:ascii="Cambria Math" w:hAnsi="Cambria Math" w:eastAsia="宋体" w:cs="Times New Roman"/>
                          <w:i/>
                          <w:sz w:val="24"/>
                          <w:szCs w:val="24"/>
                        </w:rPr>
                      </m:ctrlPr>
                    </m:sSubSup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rPr>
                        <w:rPr>
                          <w:rFonts w:hint="default" w:ascii="Cambria Math" w:hAnsi="Cambria Math" w:eastAsia="宋体" w:cs="Times New Roman"/>
                          <w:i/>
                          <w:iCs/>
                          <w:sz w:val="24"/>
                          <w:szCs w:val="24"/>
                        </w:rPr>
                        <m:t>i</m:t>
                      </m:r>
                      <m:ctrlPr>
                        <w:rPr>
                          <w:rFonts w:hint="default" w:ascii="Cambria Math" w:hAnsi="Cambria Math" w:eastAsia="宋体" w:cs="Times New Roman"/>
                          <w:sz w:val="24"/>
                          <w:szCs w:val="24"/>
                        </w:rPr>
                      </m:ctrlPr>
                    </m:sub>
                    <m:sup>
                      <m:r>
                        <m:rPr/>
                        <w:rPr>
                          <w:rFonts w:hint="default" w:ascii="Cambria Math" w:hAnsi="Cambria Math" w:eastAsia="宋体" w:cs="Times New Roman"/>
                          <w:sz w:val="24"/>
                          <w:szCs w:val="24"/>
                        </w:rPr>
                        <m:t>2</m:t>
                      </m:r>
                      <m:ctrlPr>
                        <w:rPr>
                          <w:rFonts w:hint="default" w:ascii="Cambria Math" w:hAnsi="Cambria Math" w:eastAsia="宋体" w:cs="Times New Roman"/>
                          <w:i/>
                          <w:sz w:val="24"/>
                          <w:szCs w:val="24"/>
                        </w:rPr>
                      </m:ctrlPr>
                    </m:sup>
                  </m:sSubSup>
                  <m:ctrlPr>
                    <w:rPr>
                      <w:rFonts w:hint="default" w:ascii="Cambria Math" w:hAnsi="Cambria Math" w:eastAsia="宋体" w:cs="Times New Roman"/>
                      <w:i/>
                      <w:sz w:val="24"/>
                      <w:szCs w:val="24"/>
                    </w:rPr>
                  </m:ctrlPr>
                </m:e>
              </m:nary>
              <m:ctrlPr>
                <w:rPr>
                  <w:rFonts w:hint="default" w:ascii="Cambria Math" w:hAnsi="Cambria Math" w:eastAsia="宋体" w:cs="Times New Roman"/>
                  <w:i/>
                  <w:sz w:val="24"/>
                  <w:szCs w:val="24"/>
                </w:rPr>
              </m:ctrlPr>
            </m:e>
          </m:rad>
          <m:r>
            <m:rPr>
              <m:sty m:val="p"/>
            </m:rPr>
            <w:rPr>
              <w:rFonts w:hint="default" w:ascii="Cambria Math" w:hAnsi="Cambria Math" w:eastAsia="宋体" w:cs="Times New Roman"/>
              <w:sz w:val="24"/>
              <w:szCs w:val="24"/>
            </w:rPr>
            <m:t xml:space="preserve"> =</m:t>
          </m:r>
          <m:r>
            <m:rPr>
              <m:sty m:val="p"/>
            </m:rPr>
            <w:rPr>
              <w:rFonts w:hint="default" w:ascii="Cambria Math" w:hAnsi="Cambria Math" w:eastAsia="宋体" w:cs="Times New Roman"/>
              <w:sz w:val="24"/>
              <w:szCs w:val="24"/>
              <w:lang w:val="en-US" w:eastAsia="zh-CN"/>
            </w:rPr>
            <m:t>0.0012</m:t>
          </m:r>
        </m:oMath>
      </m:oMathPara>
    </w:p>
    <w:p w14:paraId="4B67C21B">
      <w:pPr>
        <w:rPr>
          <w:rFonts w:hint="default" w:ascii="Times New Roman" w:hAnsi="Times New Roman" w:eastAsia="宋体" w:cs="Times New Roman"/>
          <w:sz w:val="24"/>
          <w:szCs w:val="24"/>
        </w:rPr>
      </w:pPr>
    </w:p>
    <w:p w14:paraId="399F9C43">
      <w:pPr>
        <w:adjustRightInd w:val="0"/>
        <w:snapToGrid w:val="0"/>
        <w:jc w:val="both"/>
        <w:rPr>
          <w:rFonts w:hint="default" w:ascii="Times New Roman" w:hAnsi="Times New Roman" w:eastAsia="宋体" w:cs="Times New Roman"/>
          <w:i w:val="0"/>
          <w:kern w:val="2"/>
          <w:sz w:val="24"/>
          <w:szCs w:val="24"/>
          <w:lang w:val="en-US" w:eastAsia="zh-CN" w:bidi="ar-SA"/>
        </w:rPr>
      </w:pPr>
      <w:r>
        <w:rPr>
          <w:rFonts w:hint="default" w:ascii="Times New Roman" w:hAnsi="Times New Roman" w:eastAsia="宋体" w:cs="Times New Roman"/>
          <w:i w:val="0"/>
          <w:kern w:val="2"/>
          <w:sz w:val="24"/>
          <w:szCs w:val="24"/>
          <w:lang w:val="en-US" w:eastAsia="zh-CN" w:bidi="ar-SA"/>
        </w:rPr>
        <w:t xml:space="preserve">8.2.6 扩展不确定度的评定   </w:t>
      </w:r>
    </w:p>
    <w:p w14:paraId="30F95D96">
      <w:pPr>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取包含因子</w:t>
      </w:r>
      <w:r>
        <w:rPr>
          <w:rFonts w:hint="default" w:ascii="Times New Roman" w:hAnsi="Times New Roman" w:eastAsia="宋体" w:cs="Times New Roman"/>
          <w:i/>
          <w:iCs/>
          <w:sz w:val="24"/>
          <w:szCs w:val="24"/>
        </w:rPr>
        <w:t>k</w:t>
      </w:r>
      <w:r>
        <w:rPr>
          <w:rFonts w:hint="default" w:ascii="Times New Roman" w:hAnsi="Times New Roman" w:eastAsia="宋体" w:cs="Times New Roman"/>
          <w:sz w:val="24"/>
          <w:szCs w:val="24"/>
        </w:rPr>
        <w:t>=2，则扩展不确定度为</w:t>
      </w:r>
    </w:p>
    <w:p w14:paraId="654F4ED3">
      <w:pPr>
        <w:ind w:firstLine="420"/>
        <w:jc w:val="center"/>
        <w:rPr>
          <w:rFonts w:hint="default" w:ascii="Times New Roman" w:hAnsi="Times New Roman" w:eastAsia="宋体" w:cs="Times New Roman"/>
          <w:i w:val="0"/>
          <w:sz w:val="24"/>
          <w:szCs w:val="24"/>
        </w:rPr>
      </w:pPr>
      <m:oMath>
        <m:r>
          <m:rPr/>
          <w:rPr>
            <w:rFonts w:hint="default" w:ascii="Cambria Math" w:hAnsi="Cambria Math" w:eastAsia="宋体" w:cs="Times New Roman"/>
            <w:sz w:val="24"/>
            <w:szCs w:val="24"/>
            <w:lang w:val="en-US" w:eastAsia="zh-CN"/>
          </w:rPr>
          <m:t>U(x)</m:t>
        </m:r>
        <m:r>
          <m:rPr/>
          <w:rPr>
            <w:rFonts w:hint="default" w:ascii="Cambria Math" w:hAnsi="Cambria Math" w:eastAsia="宋体" w:cs="Times New Roman"/>
            <w:sz w:val="24"/>
            <w:szCs w:val="24"/>
          </w:rPr>
          <m:t>=</m:t>
        </m:r>
        <m:r>
          <m:rPr/>
          <w:rPr>
            <w:rFonts w:hint="default" w:ascii="Cambria Math" w:hAnsi="Cambria Math" w:eastAsia="宋体" w:cs="Times New Roman"/>
            <w:sz w:val="24"/>
            <w:szCs w:val="24"/>
            <w:lang w:val="en-US" w:eastAsia="zh-CN"/>
          </w:rPr>
          <m:t>U(y)=0.0012</m:t>
        </m:r>
        <m:r>
          <m:rPr/>
          <w:rPr>
            <w:rFonts w:hint="default" w:ascii="Cambria Math" w:hAnsi="Cambria Math" w:eastAsia="宋体" w:cs="Times New Roman"/>
            <w:sz w:val="24"/>
            <w:szCs w:val="24"/>
          </w:rPr>
          <m:t>×2=</m:t>
        </m:r>
        <m:r>
          <m:rPr/>
          <w:rPr>
            <w:rFonts w:hint="default" w:ascii="Cambria Math" w:hAnsi="Cambria Math" w:eastAsia="宋体" w:cs="Times New Roman"/>
            <w:sz w:val="24"/>
            <w:szCs w:val="24"/>
            <w:lang w:val="en-US" w:eastAsia="zh-CN"/>
          </w:rPr>
          <m:t>0.0024</m:t>
        </m:r>
      </m:oMath>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rPr>
        <w:t xml:space="preserve"> </w:t>
      </w:r>
      <m:oMath>
        <m:r>
          <m:rPr>
            <m:nor/>
            <m:sty m:val="p"/>
          </m:rPr>
          <w:rPr>
            <w:rFonts w:hint="default" w:ascii="Cambria Math" w:hAnsi="Cambria Math" w:eastAsia="宋体" w:cs="Times New Roman"/>
            <w:b w:val="0"/>
            <w:i w:val="0"/>
            <w:sz w:val="24"/>
            <w:szCs w:val="24"/>
          </w:rPr>
          <m:t>(</m:t>
        </m:r>
        <m:r>
          <m:rPr/>
          <w:rPr>
            <w:rFonts w:hint="default" w:ascii="Cambria Math" w:hAnsi="Cambria Math" w:eastAsia="宋体" w:cs="Times New Roman"/>
            <w:sz w:val="24"/>
            <w:szCs w:val="24"/>
          </w:rPr>
          <m:t>k</m:t>
        </m:r>
        <m:r>
          <m:rPr>
            <m:nor/>
            <m:sty m:val="p"/>
          </m:rPr>
          <w:rPr>
            <w:rFonts w:hint="default" w:ascii="Cambria Math" w:hAnsi="Cambria Math" w:eastAsia="宋体" w:cs="Times New Roman"/>
            <w:b w:val="0"/>
            <w:i w:val="0"/>
            <w:sz w:val="24"/>
            <w:szCs w:val="24"/>
          </w:rPr>
          <m:t>=2)</m:t>
        </m:r>
      </m:oMath>
    </w:p>
    <w:p w14:paraId="2A1A0E94">
      <w:pPr>
        <w:adjustRightInd w:val="0"/>
        <w:snapToGrid w:val="0"/>
        <w:jc w:val="both"/>
        <w:rPr>
          <w:rFonts w:hint="default" w:ascii="Times New Roman" w:hAnsi="Times New Roman" w:eastAsia="宋体" w:cs="Times New Roman"/>
          <w:sz w:val="24"/>
          <w:szCs w:val="24"/>
          <w:lang w:val="en-US" w:eastAsia="zh-CN"/>
        </w:rPr>
      </w:pPr>
    </w:p>
    <w:p w14:paraId="0FBB0AE7">
      <w:pPr>
        <w:numPr>
          <w:ilvl w:val="0"/>
          <w:numId w:val="1"/>
        </w:numPr>
        <w:autoSpaceDE w:val="0"/>
        <w:autoSpaceDN w:val="0"/>
        <w:adjustRightInd w:val="0"/>
        <w:jc w:val="left"/>
        <w:textAlignment w:val="baseline"/>
        <w:rPr>
          <w:rFonts w:eastAsia="华文楷体"/>
          <w:sz w:val="28"/>
          <w:szCs w:val="28"/>
        </w:rPr>
      </w:pPr>
      <w:bookmarkStart w:id="4" w:name="_GoBack"/>
      <w:bookmarkEnd w:id="4"/>
      <w:r>
        <w:rPr>
          <w:rFonts w:hint="eastAsia" w:eastAsia="华文楷体"/>
          <w:sz w:val="28"/>
          <w:szCs w:val="28"/>
          <w:lang w:val="en-US" w:eastAsia="zh-CN"/>
        </w:rPr>
        <w:t>结论</w:t>
      </w:r>
      <w:r>
        <w:rPr>
          <w:rFonts w:hint="eastAsia" w:eastAsia="华文楷体"/>
          <w:sz w:val="28"/>
          <w:szCs w:val="28"/>
        </w:rPr>
        <w:t>：</w:t>
      </w:r>
    </w:p>
    <w:p w14:paraId="7F99FEA8">
      <w:pPr>
        <w:numPr>
          <w:ilvl w:val="0"/>
          <w:numId w:val="0"/>
        </w:numPr>
        <w:autoSpaceDE w:val="0"/>
        <w:autoSpaceDN w:val="0"/>
        <w:adjustRightInd w:val="0"/>
        <w:ind w:leftChars="0" w:firstLine="240" w:firstLineChars="100"/>
        <w:jc w:val="left"/>
        <w:textAlignment w:val="baseline"/>
      </w:pPr>
      <w:r>
        <w:rPr>
          <w:rFonts w:hint="eastAsia" w:ascii="宋体" w:hAnsi="宋体" w:eastAsia="宋体" w:cs="宋体"/>
          <w:sz w:val="24"/>
          <w:szCs w:val="24"/>
          <w:lang w:val="en-US" w:eastAsia="zh-CN"/>
        </w:rPr>
        <w:t>实验数据表明，本</w:t>
      </w:r>
      <w:r>
        <w:rPr>
          <w:rFonts w:hint="eastAsia" w:ascii="宋体" w:hAnsi="宋体" w:cs="宋体"/>
          <w:sz w:val="24"/>
          <w:szCs w:val="24"/>
          <w:lang w:val="en-US" w:eastAsia="zh-CN"/>
        </w:rPr>
        <w:t>规范</w:t>
      </w:r>
      <w:r>
        <w:rPr>
          <w:rFonts w:hint="eastAsia" w:ascii="宋体" w:hAnsi="宋体" w:eastAsia="宋体" w:cs="宋体"/>
          <w:sz w:val="24"/>
          <w:szCs w:val="24"/>
          <w:lang w:val="en-US" w:eastAsia="zh-CN"/>
        </w:rPr>
        <w:t>草稿所规定的</w:t>
      </w:r>
      <w:r>
        <w:rPr>
          <w:rFonts w:hint="eastAsia" w:ascii="宋体" w:hAnsi="宋体" w:cs="宋体"/>
          <w:sz w:val="24"/>
          <w:szCs w:val="24"/>
          <w:lang w:val="en-US" w:eastAsia="zh-CN"/>
        </w:rPr>
        <w:t>校准</w:t>
      </w:r>
      <w:r>
        <w:rPr>
          <w:rFonts w:hint="eastAsia" w:ascii="宋体" w:hAnsi="宋体" w:eastAsia="宋体" w:cs="宋体"/>
          <w:sz w:val="24"/>
          <w:szCs w:val="24"/>
          <w:lang w:val="en-US" w:eastAsia="zh-CN"/>
        </w:rPr>
        <w:t>操作原理正确，实际可行</w:t>
      </w:r>
      <w:r>
        <w:rPr>
          <w:rFonts w:hint="eastAsia" w:eastAsia="华文楷体"/>
          <w:sz w:val="28"/>
          <w:szCs w:val="28"/>
          <w:lang w:val="en-US" w:eastAsia="zh-CN"/>
        </w:rPr>
        <w:t>。</w:t>
      </w:r>
    </w:p>
    <w:sectPr>
      <w:pgSz w:w="11906" w:h="16838"/>
      <w:pgMar w:top="1440" w:right="1800" w:bottom="1440" w:left="22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EAEE30C-19DF-4FA2-8EA2-BBF06D621223}"/>
  </w:font>
  <w:font w:name="黑体">
    <w:panose1 w:val="02010609060101010101"/>
    <w:charset w:val="86"/>
    <w:family w:val="auto"/>
    <w:pitch w:val="default"/>
    <w:sig w:usb0="800002BF" w:usb1="38CF7CFA" w:usb2="00000016" w:usb3="00000000" w:csb0="00040001" w:csb1="00000000"/>
    <w:embedRegular r:id="rId2" w:fontKey="{90857167-AE5A-4373-9F89-C4517F9AE1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书宋二简">
    <w:altName w:val="宋体"/>
    <w:panose1 w:val="02010600000101010101"/>
    <w:charset w:val="86"/>
    <w:family w:val="auto"/>
    <w:pitch w:val="default"/>
    <w:sig w:usb0="00000000" w:usb1="00000000" w:usb2="00000002" w:usb3="00000000" w:csb0="00040000" w:csb1="00000000"/>
  </w:font>
  <w:font w:name="Consolas">
    <w:panose1 w:val="020B0609020204030204"/>
    <w:charset w:val="00"/>
    <w:family w:val="auto"/>
    <w:pitch w:val="default"/>
    <w:sig w:usb0="E00006FF" w:usb1="0000FCFF" w:usb2="00000001" w:usb3="00000000" w:csb0="6000019F" w:csb1="DFD70000"/>
    <w:embedRegular r:id="rId3" w:fontKey="{F3D81712-D45A-4307-8E62-E3F3CA60C0DE}"/>
  </w:font>
  <w:font w:name="新宋体">
    <w:panose1 w:val="02010609030101010101"/>
    <w:charset w:val="86"/>
    <w:family w:val="auto"/>
    <w:pitch w:val="default"/>
    <w:sig w:usb0="00000203" w:usb1="288F0000" w:usb2="00000006" w:usb3="00000000" w:csb0="00040001" w:csb1="00000000"/>
    <w:embedRegular r:id="rId4" w:fontKey="{96281D6E-C3FA-47CF-9729-AF8E3703189F}"/>
  </w:font>
  <w:font w:name="华文中宋">
    <w:panose1 w:val="02010600040101010101"/>
    <w:charset w:val="86"/>
    <w:family w:val="auto"/>
    <w:pitch w:val="default"/>
    <w:sig w:usb0="00000287" w:usb1="080F0000" w:usb2="00000000" w:usb3="00000000" w:csb0="0004009F" w:csb1="DFD70000"/>
    <w:embedRegular r:id="rId5" w:fontKey="{394797DC-C47A-41E4-A4D8-9ADCB6CEAC52}"/>
  </w:font>
  <w:font w:name="华文楷体">
    <w:panose1 w:val="02010600040101010101"/>
    <w:charset w:val="86"/>
    <w:family w:val="auto"/>
    <w:pitch w:val="default"/>
    <w:sig w:usb0="00000287" w:usb1="080F0000" w:usb2="00000000" w:usb3="00000000" w:csb0="0004009F" w:csb1="DFD70000"/>
    <w:embedRegular r:id="rId6" w:fontKey="{98AC7C0F-7CE4-462E-A61F-AC1153C99A4F}"/>
  </w:font>
  <w:font w:name="Cambria Math">
    <w:panose1 w:val="02040503050406030204"/>
    <w:charset w:val="00"/>
    <w:family w:val="auto"/>
    <w:pitch w:val="default"/>
    <w:sig w:usb0="E00006FF" w:usb1="420024FF" w:usb2="02000000" w:usb3="00000000" w:csb0="2000019F" w:csb1="00000000"/>
    <w:embedRegular r:id="rId7" w:fontKey="{D569BA68-0FCA-4F69-9AD9-3AB9F7AE62FA}"/>
  </w:font>
  <w:font w:name="微软雅黑">
    <w:panose1 w:val="020B0503020204020204"/>
    <w:charset w:val="86"/>
    <w:family w:val="auto"/>
    <w:pitch w:val="default"/>
    <w:sig w:usb0="80000287" w:usb1="2ACF3C50" w:usb2="00000016" w:usb3="00000000" w:csb0="0004001F" w:csb1="00000000"/>
    <w:embedRegular r:id="rId8" w:fontKey="{E4BB6686-7689-431D-8998-8EF87B39EE74}"/>
  </w:font>
  <w:font w:name="等线">
    <w:panose1 w:val="02010600030101010101"/>
    <w:charset w:val="86"/>
    <w:family w:val="auto"/>
    <w:pitch w:val="default"/>
    <w:sig w:usb0="A00002BF" w:usb1="38CF7CFA" w:usb2="00000016" w:usb3="00000000" w:csb0="0004000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85489"/>
    <w:multiLevelType w:val="multilevel"/>
    <w:tmpl w:val="4EA85489"/>
    <w:lvl w:ilvl="0" w:tentative="0">
      <w:start w:val="1"/>
      <w:numFmt w:val="chineseCountingThousand"/>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69989A48"/>
    <w:multiLevelType w:val="singleLevel"/>
    <w:tmpl w:val="69989A48"/>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0577140"/>
    <w:rsid w:val="009A13B3"/>
    <w:rsid w:val="02830AFC"/>
    <w:rsid w:val="02C6061F"/>
    <w:rsid w:val="033C2484"/>
    <w:rsid w:val="038B04A6"/>
    <w:rsid w:val="06293905"/>
    <w:rsid w:val="08600724"/>
    <w:rsid w:val="09944A5F"/>
    <w:rsid w:val="0C811679"/>
    <w:rsid w:val="0E83604E"/>
    <w:rsid w:val="0F7A6F82"/>
    <w:rsid w:val="10E35A82"/>
    <w:rsid w:val="12D44F51"/>
    <w:rsid w:val="14976A43"/>
    <w:rsid w:val="16856556"/>
    <w:rsid w:val="17167DDD"/>
    <w:rsid w:val="174032C8"/>
    <w:rsid w:val="18495740"/>
    <w:rsid w:val="19612595"/>
    <w:rsid w:val="19704437"/>
    <w:rsid w:val="1C927B96"/>
    <w:rsid w:val="1DC77902"/>
    <w:rsid w:val="1DD71FE5"/>
    <w:rsid w:val="1E243045"/>
    <w:rsid w:val="1FF344AC"/>
    <w:rsid w:val="21130D5E"/>
    <w:rsid w:val="22DE709D"/>
    <w:rsid w:val="24500991"/>
    <w:rsid w:val="269F26F7"/>
    <w:rsid w:val="2AE87C87"/>
    <w:rsid w:val="2CAB47C4"/>
    <w:rsid w:val="2CC24862"/>
    <w:rsid w:val="2EB23F5D"/>
    <w:rsid w:val="31CC308E"/>
    <w:rsid w:val="32BB0B7A"/>
    <w:rsid w:val="338F30F4"/>
    <w:rsid w:val="36A007CA"/>
    <w:rsid w:val="376F3581"/>
    <w:rsid w:val="39225BF5"/>
    <w:rsid w:val="394F188D"/>
    <w:rsid w:val="3AD15ECF"/>
    <w:rsid w:val="3B183DF3"/>
    <w:rsid w:val="3BC062F9"/>
    <w:rsid w:val="3D6C3AFB"/>
    <w:rsid w:val="3DDA2813"/>
    <w:rsid w:val="3E32532F"/>
    <w:rsid w:val="3E484B7F"/>
    <w:rsid w:val="44855FEC"/>
    <w:rsid w:val="46BC781A"/>
    <w:rsid w:val="4705742D"/>
    <w:rsid w:val="4D722A68"/>
    <w:rsid w:val="4D9979D8"/>
    <w:rsid w:val="535B7F0E"/>
    <w:rsid w:val="550314F5"/>
    <w:rsid w:val="55A04399"/>
    <w:rsid w:val="56731818"/>
    <w:rsid w:val="567F382C"/>
    <w:rsid w:val="56D7103C"/>
    <w:rsid w:val="5A3A1AE4"/>
    <w:rsid w:val="5BDD526E"/>
    <w:rsid w:val="5E6C40B9"/>
    <w:rsid w:val="601B4F8E"/>
    <w:rsid w:val="61034477"/>
    <w:rsid w:val="624221F8"/>
    <w:rsid w:val="625B1311"/>
    <w:rsid w:val="6307792F"/>
    <w:rsid w:val="63FA510E"/>
    <w:rsid w:val="641F2924"/>
    <w:rsid w:val="653A1FD0"/>
    <w:rsid w:val="65615A8F"/>
    <w:rsid w:val="66950DF7"/>
    <w:rsid w:val="6A3F1669"/>
    <w:rsid w:val="6C7A233B"/>
    <w:rsid w:val="6D887C10"/>
    <w:rsid w:val="6FA05350"/>
    <w:rsid w:val="6FEF189F"/>
    <w:rsid w:val="75E66DC3"/>
    <w:rsid w:val="770A4CD0"/>
    <w:rsid w:val="77F04126"/>
    <w:rsid w:val="785265B0"/>
    <w:rsid w:val="7B6411A6"/>
    <w:rsid w:val="7BA06143"/>
    <w:rsid w:val="7F8F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caption"/>
    <w:basedOn w:val="1"/>
    <w:next w:val="1"/>
    <w:semiHidden/>
    <w:unhideWhenUsed/>
    <w:qFormat/>
    <w:uiPriority w:val="0"/>
    <w:rPr>
      <w:rFonts w:ascii="Arial" w:hAnsi="Arial" w:eastAsia="黑体"/>
      <w:sz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paragraph" w:customStyle="1" w:styleId="8">
    <w:name w:val="Default"/>
    <w:qFormat/>
    <w:uiPriority w:val="0"/>
    <w:pPr>
      <w:widowControl w:val="0"/>
      <w:autoSpaceDE w:val="0"/>
      <w:autoSpaceDN w:val="0"/>
      <w:adjustRightInd w:val="0"/>
    </w:pPr>
    <w:rPr>
      <w:rFonts w:ascii="汉仪书宋二简" w:hAnsi="Times New Roman" w:eastAsia="汉仪书宋二简" w:cs="汉仪书宋二简"/>
      <w:color w:val="000000"/>
      <w:kern w:val="0"/>
      <w:sz w:val="24"/>
      <w:szCs w:val="24"/>
      <w:lang w:val="en-US" w:eastAsia="zh-CN" w:bidi="ar-SA"/>
    </w:rPr>
  </w:style>
  <w:style w:type="paragraph" w:customStyle="1" w:styleId="9">
    <w:name w:val="段"/>
    <w:next w:val="1"/>
    <w:qFormat/>
    <w:uiPriority w:val="0"/>
    <w:pPr>
      <w:autoSpaceDE w:val="0"/>
      <w:autoSpaceDN w:val="0"/>
      <w:ind w:firstLine="200" w:firstLineChars="200"/>
      <w:jc w:val="both"/>
    </w:pPr>
    <w:rPr>
      <w:rFonts w:ascii="宋体" w:eastAsia="宋体" w:hAnsiTheme="minorHAnsi" w:cstheme="minorBidi"/>
      <w:kern w:val="2"/>
      <w:sz w:val="21"/>
      <w:szCs w:val="22"/>
      <w:lang w:val="en-US" w:eastAsia="zh-CN" w:bidi="ar-SA"/>
    </w:rPr>
  </w:style>
  <w:style w:type="character" w:customStyle="1" w:styleId="10">
    <w:name w:val="IOPText Char"/>
    <w:link w:val="11"/>
    <w:qFormat/>
    <w:uiPriority w:val="0"/>
  </w:style>
  <w:style w:type="paragraph" w:customStyle="1" w:styleId="11">
    <w:name w:val="IOPText"/>
    <w:basedOn w:val="12"/>
    <w:link w:val="10"/>
    <w:qFormat/>
    <w:uiPriority w:val="0"/>
    <w:pPr>
      <w:ind w:right="0" w:firstLine="227"/>
    </w:pPr>
  </w:style>
  <w:style w:type="paragraph" w:customStyle="1" w:styleId="12">
    <w:name w:val="IOPAbsText"/>
    <w:basedOn w:val="1"/>
    <w:qFormat/>
    <w:uiPriority w:val="0"/>
    <w:pPr>
      <w:ind w:right="2552"/>
    </w:pPr>
    <w:rPr>
      <w:sz w:val="20"/>
    </w:rPr>
  </w:style>
  <w:style w:type="character" w:customStyle="1" w:styleId="13">
    <w:name w:val="font21"/>
    <w:basedOn w:val="6"/>
    <w:qFormat/>
    <w:uiPriority w:val="0"/>
    <w:rPr>
      <w:rFonts w:hint="eastAsia" w:ascii="宋体" w:hAnsi="宋体" w:eastAsia="宋体" w:cs="宋体"/>
      <w:color w:val="000000"/>
      <w:sz w:val="21"/>
      <w:szCs w:val="21"/>
      <w:u w:val="none"/>
    </w:rPr>
  </w:style>
  <w:style w:type="character" w:customStyle="1" w:styleId="14">
    <w:name w:val="font41"/>
    <w:basedOn w:val="6"/>
    <w:qFormat/>
    <w:uiPriority w:val="0"/>
    <w:rPr>
      <w:rFonts w:hint="default" w:ascii="Times New Roman" w:hAnsi="Times New Roman" w:cs="Times New Roman"/>
      <w:color w:val="000000"/>
      <w:sz w:val="21"/>
      <w:szCs w:val="21"/>
      <w:u w:val="none"/>
    </w:rPr>
  </w:style>
  <w:style w:type="character" w:customStyle="1" w:styleId="15">
    <w:name w:val="font11"/>
    <w:basedOn w:val="6"/>
    <w:qFormat/>
    <w:uiPriority w:val="0"/>
    <w:rPr>
      <w:rFonts w:hint="eastAsia" w:ascii="宋体" w:hAnsi="宋体" w:eastAsia="宋体" w:cs="宋体"/>
      <w:i/>
      <w:iCs/>
      <w:color w:val="000000"/>
      <w:sz w:val="21"/>
      <w:szCs w:val="21"/>
      <w:u w:val="none"/>
    </w:rPr>
  </w:style>
  <w:style w:type="character" w:customStyle="1" w:styleId="16">
    <w:name w:val="font51"/>
    <w:basedOn w:val="6"/>
    <w:qFormat/>
    <w:uiPriority w:val="0"/>
    <w:rPr>
      <w:rFonts w:hint="eastAsia" w:ascii="宋体" w:hAnsi="宋体" w:eastAsia="宋体" w:cs="宋体"/>
      <w:color w:val="000000"/>
      <w:sz w:val="21"/>
      <w:szCs w:val="21"/>
      <w:u w:val="none"/>
      <w:vertAlign w:val="subscript"/>
    </w:rPr>
  </w:style>
  <w:style w:type="character" w:customStyle="1" w:styleId="17">
    <w:name w:val="font01"/>
    <w:basedOn w:val="6"/>
    <w:qFormat/>
    <w:uiPriority w:val="0"/>
    <w:rPr>
      <w:rFonts w:hint="eastAsia" w:ascii="宋体" w:hAnsi="宋体" w:eastAsia="宋体" w:cs="宋体"/>
      <w:color w:val="000000"/>
      <w:sz w:val="22"/>
      <w:szCs w:val="22"/>
      <w:u w:val="none"/>
    </w:rPr>
  </w:style>
  <w:style w:type="character" w:customStyle="1" w:styleId="18">
    <w:name w:val="font61"/>
    <w:basedOn w:val="6"/>
    <w:qFormat/>
    <w:uiPriority w:val="0"/>
    <w:rPr>
      <w:rFonts w:ascii="宋体" w:hAnsi="宋体" w:eastAsia="宋体" w:cs="宋体"/>
      <w:color w:val="000000"/>
      <w:sz w:val="22"/>
      <w:szCs w:val="22"/>
      <w:u w:val="none"/>
    </w:rPr>
  </w:style>
  <w:style w:type="character" w:customStyle="1" w:styleId="19">
    <w:name w:val="font71"/>
    <w:basedOn w:val="6"/>
    <w:qFormat/>
    <w:uiPriority w:val="0"/>
    <w:rPr>
      <w:rFonts w:hint="default" w:ascii="Times New Roman" w:hAnsi="Times New Roman" w:cs="Times New Roman"/>
      <w:color w:val="000000"/>
      <w:sz w:val="22"/>
      <w:szCs w:val="22"/>
      <w:u w:val="none"/>
    </w:rPr>
  </w:style>
  <w:style w:type="character" w:customStyle="1" w:styleId="20">
    <w:name w:val="font31"/>
    <w:basedOn w:val="6"/>
    <w:qFormat/>
    <w:uiPriority w:val="0"/>
    <w:rPr>
      <w:rFonts w:hint="eastAsia" w:ascii="宋体" w:hAnsi="宋体" w:eastAsia="宋体" w:cs="宋体"/>
      <w:i/>
      <w:iCs/>
      <w:color w:val="000000"/>
      <w:sz w:val="22"/>
      <w:szCs w:val="22"/>
      <w:u w:val="none"/>
    </w:rPr>
  </w:style>
  <w:style w:type="character" w:customStyle="1" w:styleId="21">
    <w:name w:val="font91"/>
    <w:basedOn w:val="6"/>
    <w:qFormat/>
    <w:uiPriority w:val="0"/>
    <w:rPr>
      <w:rFonts w:ascii="宋体" w:hAnsi="宋体" w:eastAsia="宋体" w:cs="宋体"/>
      <w:color w:val="000000"/>
      <w:sz w:val="22"/>
      <w:szCs w:val="22"/>
      <w:u w:val="none"/>
    </w:rPr>
  </w:style>
  <w:style w:type="paragraph" w:customStyle="1" w:styleId="22">
    <w:name w:val="附录的标题"/>
    <w:basedOn w:val="1"/>
    <w:qFormat/>
    <w:uiPriority w:val="0"/>
    <w:pPr>
      <w:jc w:val="center"/>
    </w:pPr>
    <w:rPr>
      <w:rFonts w:ascii="黑体" w:hAnsi="黑体" w:eastAsia="黑体"/>
      <w:sz w:val="32"/>
      <w:szCs w:val="32"/>
    </w:rPr>
  </w:style>
  <w:style w:type="character" w:customStyle="1" w:styleId="23">
    <w:name w:val="font81"/>
    <w:basedOn w:val="6"/>
    <w:qFormat/>
    <w:uiPriority w:val="0"/>
    <w:rPr>
      <w:rFonts w:hint="eastAsia" w:ascii="宋体" w:hAnsi="宋体" w:eastAsia="宋体" w:cs="宋体"/>
      <w:color w:val="000000"/>
      <w:sz w:val="20"/>
      <w:szCs w:val="20"/>
      <w:u w:val="none"/>
      <w:vertAlign w:val="subscript"/>
    </w:rPr>
  </w:style>
  <w:style w:type="character" w:customStyle="1" w:styleId="24">
    <w:name w:val="font101"/>
    <w:basedOn w:val="6"/>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1235</Words>
  <Characters>5360</Characters>
  <Lines>0</Lines>
  <Paragraphs>0</Paragraphs>
  <TotalTime>2</TotalTime>
  <ScaleCrop>false</ScaleCrop>
  <LinksUpToDate>false</LinksUpToDate>
  <CharactersWithSpaces>5810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2022-10-20T04:45:00Z</dcterms:created>
  <dc:creator>12607</dc:creator>
  <cp:lastModifiedBy>Zhao Weiqiang</cp:lastModifiedBy>
  <dcterms:modified xsi:type="dcterms:W3CDTF">2024-12-25T07:31:32Z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D6FDF4D61EE94559A0BC89DE2380F5C4</vt:lpwstr>
  </property>
  <property fmtid="{D5CDD505-2E9C-101B-9397-08002B2CF9AE}" pid="4" name="KSOTemplateDocerSaveRecord">
    <vt:lpwstr>eyJoZGlkIjoiMzEwNTM5NzYwMDRjMzkwZTVkZjY2ODkwMGIxNGU0OTUiLCJ1c2VySWQiOiI0NTQ4NTY3NDQifQ==</vt:lpwstr>
  </property>
</Properties>
</file>